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B8" w:rsidRPr="00E55D53" w:rsidRDefault="00ED6DB8" w:rsidP="00ED6DB8">
      <w:pPr>
        <w:spacing w:line="360" w:lineRule="auto"/>
        <w:jc w:val="both"/>
        <w:rPr>
          <w:rFonts w:ascii="Tahoma" w:hAnsi="Tahoma" w:cs="Tahoma"/>
          <w:b/>
        </w:rPr>
      </w:pPr>
      <w:bookmarkStart w:id="0" w:name="_GoBack"/>
      <w:bookmarkEnd w:id="0"/>
      <w:r w:rsidRPr="00E55D53">
        <w:rPr>
          <w:rFonts w:ascii="Tahoma" w:hAnsi="Tahoma" w:cs="Tahoma"/>
          <w:b/>
        </w:rPr>
        <w:t xml:space="preserve">2. ΤΟ ΡΥΘΜΙΣΤΙΚΟ ΠΛΑΙΣΙΟ ΤΗΣ ΑΝΑΛΥΣΗΣ </w:t>
      </w:r>
      <w:r>
        <w:rPr>
          <w:rFonts w:ascii="Tahoma" w:hAnsi="Tahoma" w:cs="Tahoma"/>
          <w:b/>
        </w:rPr>
        <w:t>ΤΟΥ ΚΙΝΔΥΝΟΥ</w:t>
      </w:r>
      <w:r w:rsidR="00EE2E66">
        <w:rPr>
          <w:rFonts w:ascii="Tahoma" w:hAnsi="Tahoma" w:cs="Tahoma"/>
          <w:b/>
        </w:rPr>
        <w:t>*</w:t>
      </w:r>
      <w:r w:rsidRPr="00E55D53">
        <w:rPr>
          <w:rStyle w:val="FootnoteReference"/>
          <w:rFonts w:ascii="Tahoma" w:hAnsi="Tahoma" w:cs="Tahoma"/>
          <w:b/>
        </w:rPr>
        <w:footnoteReference w:id="1"/>
      </w:r>
    </w:p>
    <w:p w:rsidR="00ED6DB8" w:rsidRPr="00E55D53" w:rsidRDefault="00ED6DB8" w:rsidP="00ED6DB8">
      <w:pPr>
        <w:spacing w:line="360" w:lineRule="auto"/>
        <w:jc w:val="both"/>
        <w:rPr>
          <w:rFonts w:ascii="Tahoma" w:hAnsi="Tahoma" w:cs="Tahoma"/>
        </w:rPr>
      </w:pPr>
    </w:p>
    <w:p w:rsidR="00ED6DB8" w:rsidRPr="00E55D53" w:rsidRDefault="00ED6DB8" w:rsidP="00ED6DB8">
      <w:pPr>
        <w:spacing w:line="360" w:lineRule="auto"/>
        <w:jc w:val="both"/>
        <w:rPr>
          <w:rFonts w:ascii="Tahoma" w:hAnsi="Tahoma" w:cs="Tahoma"/>
          <w:b/>
        </w:rPr>
      </w:pPr>
      <w:r w:rsidRPr="00E55D53">
        <w:rPr>
          <w:rFonts w:ascii="Tahoma" w:hAnsi="Tahoma" w:cs="Tahoma"/>
        </w:rPr>
        <w:t xml:space="preserve">     </w:t>
      </w:r>
      <w:r w:rsidRPr="00E55D53">
        <w:rPr>
          <w:rFonts w:ascii="Tahoma" w:hAnsi="Tahoma" w:cs="Tahoma"/>
          <w:b/>
        </w:rPr>
        <w:t>2.1. Εισαγωγικές παρατηρήσεις</w:t>
      </w:r>
    </w:p>
    <w:p w:rsidR="00ED6DB8" w:rsidRPr="00B04106"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Το ρυθμιστικό πλαίσιο της ανάλυσης </w:t>
      </w:r>
      <w:r>
        <w:rPr>
          <w:rFonts w:ascii="Tahoma" w:hAnsi="Tahoma" w:cs="Tahoma"/>
          <w:sz w:val="22"/>
          <w:szCs w:val="22"/>
        </w:rPr>
        <w:t>ή της ρύθμισης του κινδύνου</w:t>
      </w:r>
      <w:r w:rsidRPr="007C44FF">
        <w:rPr>
          <w:rFonts w:ascii="Tahoma" w:hAnsi="Tahoma" w:cs="Tahoma"/>
          <w:sz w:val="22"/>
          <w:szCs w:val="22"/>
        </w:rPr>
        <w:t xml:space="preserve"> περιλαμβάνει –κατά την κρατούσα άποψη- τρία στάδια: το στάδιο της εκτίμησης του κινδύνου, το  στάδιο της διαχείρισης του κινδύνου και το στάδιο της ενημέρωσης σχετικά με τον κίνδυνο, δίνοντας ιδιαίτερη έμφαση στα δύο πρώτα</w:t>
      </w:r>
      <w:r w:rsidRPr="007C44FF">
        <w:rPr>
          <w:rStyle w:val="FootnoteReference"/>
          <w:rFonts w:ascii="Tahoma" w:hAnsi="Tahoma" w:cs="Tahoma"/>
          <w:sz w:val="22"/>
          <w:szCs w:val="22"/>
        </w:rPr>
        <w:footnoteReference w:id="2"/>
      </w:r>
      <w:r w:rsidRPr="007C44FF">
        <w:rPr>
          <w:rFonts w:ascii="Tahoma" w:hAnsi="Tahoma" w:cs="Tahoma"/>
          <w:sz w:val="22"/>
          <w:szCs w:val="22"/>
        </w:rPr>
        <w:t xml:space="preserve">. Κατά το μεν πρώτο στάδιο διεξάγεται η επιστημονική αξιολόγηση με την οποία επιχειρείται </w:t>
      </w:r>
      <w:r>
        <w:rPr>
          <w:rFonts w:ascii="Tahoma" w:hAnsi="Tahoma" w:cs="Tahoma"/>
          <w:sz w:val="22"/>
          <w:szCs w:val="22"/>
        </w:rPr>
        <w:t>‘</w:t>
      </w:r>
      <w:r w:rsidRPr="007C44FF">
        <w:rPr>
          <w:rFonts w:ascii="Tahoma" w:hAnsi="Tahoma" w:cs="Tahoma"/>
          <w:sz w:val="22"/>
          <w:szCs w:val="22"/>
        </w:rPr>
        <w:t>‘ο χαρακτηρισμός των δυνάμει αρνητικών επιπτώσεων στην υγεία από την έκθεση του ανθρώπου στους περιβαλλοντικούς κινδύνους</w:t>
      </w:r>
      <w:r>
        <w:rPr>
          <w:rFonts w:ascii="Tahoma" w:hAnsi="Tahoma" w:cs="Tahoma"/>
          <w:sz w:val="22"/>
          <w:szCs w:val="22"/>
        </w:rPr>
        <w:t>’’</w:t>
      </w:r>
      <w:r w:rsidRPr="007C44FF">
        <w:rPr>
          <w:rStyle w:val="FootnoteReference"/>
          <w:rFonts w:ascii="Tahoma" w:hAnsi="Tahoma" w:cs="Tahoma"/>
          <w:sz w:val="22"/>
          <w:szCs w:val="22"/>
        </w:rPr>
        <w:footnoteReference w:id="3"/>
      </w:r>
      <w:r w:rsidRPr="007C44FF">
        <w:rPr>
          <w:rFonts w:ascii="Tahoma" w:hAnsi="Tahoma" w:cs="Tahoma"/>
          <w:sz w:val="22"/>
          <w:szCs w:val="22"/>
        </w:rPr>
        <w:t>. Κατά το δεύτερο στάδιο συνεκτιμώνται τα πορίσματα της πρότερης επιστημονικής εκτίμησης του κινδύνου με τα κοινωνικά και οικονομικά δεδομένα, ώστε να προκύψει ο αποδεκτός κίνδυνος</w:t>
      </w:r>
      <w:r w:rsidRPr="007C44FF">
        <w:rPr>
          <w:rStyle w:val="FootnoteReference"/>
          <w:rFonts w:ascii="Tahoma" w:hAnsi="Tahoma" w:cs="Tahoma"/>
          <w:sz w:val="22"/>
          <w:szCs w:val="22"/>
        </w:rPr>
        <w:footnoteReference w:id="4"/>
      </w:r>
      <w:r w:rsidRPr="007C44FF">
        <w:rPr>
          <w:rFonts w:ascii="Tahoma" w:hAnsi="Tahoma" w:cs="Tahoma"/>
          <w:sz w:val="22"/>
          <w:szCs w:val="22"/>
        </w:rPr>
        <w:t xml:space="preserve">. Αυτό είναι αναγκαίο διότι όπως επισημαίνεται </w:t>
      </w:r>
      <w:r>
        <w:rPr>
          <w:rFonts w:ascii="Tahoma" w:hAnsi="Tahoma" w:cs="Tahoma"/>
          <w:sz w:val="22"/>
          <w:szCs w:val="22"/>
        </w:rPr>
        <w:t>‘</w:t>
      </w:r>
      <w:r w:rsidRPr="007C44FF">
        <w:rPr>
          <w:rFonts w:ascii="Tahoma" w:hAnsi="Tahoma" w:cs="Tahoma"/>
          <w:sz w:val="22"/>
          <w:szCs w:val="22"/>
        </w:rPr>
        <w:t>‘δεν μπορεί μόνο η επιστήμη να αποτελέσει την κατάλληλη βάση για τη λήψη απόφασης</w:t>
      </w:r>
      <w:r>
        <w:rPr>
          <w:rFonts w:ascii="Tahoma" w:hAnsi="Tahoma" w:cs="Tahoma"/>
          <w:sz w:val="22"/>
          <w:szCs w:val="22"/>
        </w:rPr>
        <w:t>’</w:t>
      </w:r>
      <w:r w:rsidRPr="007C44FF">
        <w:rPr>
          <w:rFonts w:ascii="Tahoma" w:hAnsi="Tahoma" w:cs="Tahoma"/>
          <w:sz w:val="22"/>
          <w:szCs w:val="22"/>
        </w:rPr>
        <w:t xml:space="preserve">’ καθώς </w:t>
      </w:r>
      <w:r>
        <w:rPr>
          <w:rFonts w:ascii="Tahoma" w:hAnsi="Tahoma" w:cs="Tahoma"/>
          <w:sz w:val="22"/>
          <w:szCs w:val="22"/>
        </w:rPr>
        <w:t>‘</w:t>
      </w:r>
      <w:r w:rsidRPr="007C44FF">
        <w:rPr>
          <w:rFonts w:ascii="Tahoma" w:hAnsi="Tahoma" w:cs="Tahoma"/>
          <w:sz w:val="22"/>
          <w:szCs w:val="22"/>
        </w:rPr>
        <w:t>‘οι αποφάσεις σχετικά με τους κινδύνους είναι, σε τελ</w:t>
      </w:r>
      <w:r>
        <w:rPr>
          <w:rFonts w:ascii="Tahoma" w:hAnsi="Tahoma" w:cs="Tahoma"/>
          <w:sz w:val="22"/>
          <w:szCs w:val="22"/>
        </w:rPr>
        <w:t>ική ανάλυση, πολιτικές επιλογές’’</w:t>
      </w:r>
      <w:r w:rsidRPr="007C44FF">
        <w:rPr>
          <w:rStyle w:val="FootnoteReference"/>
          <w:rFonts w:ascii="Tahoma" w:hAnsi="Tahoma" w:cs="Tahoma"/>
          <w:sz w:val="22"/>
          <w:szCs w:val="22"/>
        </w:rPr>
        <w:footnoteReference w:id="5"/>
      </w:r>
      <w:r w:rsidRPr="007C44FF">
        <w:rPr>
          <w:rFonts w:ascii="Tahoma" w:hAnsi="Tahoma" w:cs="Tahoma"/>
          <w:sz w:val="22"/>
          <w:szCs w:val="22"/>
        </w:rPr>
        <w:t xml:space="preserve">. Τέλος, κατά το τρίτο στάδιο διαχέεται η πληροφόρηση και η αξιολόγηση προς την επιστημονική κοινότητα, προς τις αρμόδιες αρχές, προς τους ενδιαφερόμενους και προς το κοινό γενικότερα. Στόχος της ενημέρωσης είναι να πληροφορηθεί αλλά –κυρίως- να επηρεαστεί το κοινό, ώστε να στηρίξει τις αποφάσεις που λαμβάνονται. Η παραπάνω άποψη για την ανάγκη διάκρισης των σταδίων –ιδίως του πρώτου και του δεύτερου- </w:t>
      </w:r>
      <w:r w:rsidRPr="007C44FF">
        <w:rPr>
          <w:rFonts w:ascii="Tahoma" w:hAnsi="Tahoma" w:cs="Tahoma"/>
          <w:sz w:val="22"/>
          <w:szCs w:val="22"/>
        </w:rPr>
        <w:lastRenderedPageBreak/>
        <w:t>δίνει ιδιαίτερη βαρύτητα στην επιστήμη, για την οποία υποστηρίζει ότι αποτελεί ένα ουδέτερο και ορθολογικό μέσο για την ορθή λήψη των αποφάσεων που θα ακολουθήσουν</w:t>
      </w:r>
      <w:r w:rsidRPr="007C44FF">
        <w:rPr>
          <w:rStyle w:val="FootnoteReference"/>
          <w:rFonts w:ascii="Tahoma" w:hAnsi="Tahoma" w:cs="Tahoma"/>
          <w:sz w:val="22"/>
          <w:szCs w:val="22"/>
        </w:rPr>
        <w:footnoteReference w:id="6"/>
      </w:r>
      <w:r w:rsidRPr="007C44FF">
        <w:rPr>
          <w:rFonts w:ascii="Tahoma" w:hAnsi="Tahoma" w:cs="Tahoma"/>
          <w:sz w:val="22"/>
          <w:szCs w:val="22"/>
        </w:rPr>
        <w:t>. Ωστόσο, έχουν εκφραστεί έντονες αντιρρήσεις γι’ αυτή την προσέγγιση των διακριτών σταδίων, οι οποίες στηρίζονται στην αντίληψη ότι η εκτίμηση των κινδύνων περιλαμβάνει και μη επιστημονικά δεδομένα, όπως κοινωνικές προτεραιότητες και πολιτικές επιλογές</w:t>
      </w:r>
      <w:r w:rsidRPr="007C44FF">
        <w:rPr>
          <w:rStyle w:val="FootnoteReference"/>
          <w:rFonts w:ascii="Tahoma" w:hAnsi="Tahoma" w:cs="Tahoma"/>
          <w:sz w:val="22"/>
          <w:szCs w:val="22"/>
        </w:rPr>
        <w:footnoteReference w:id="7"/>
      </w:r>
      <w:r w:rsidRPr="007C44FF">
        <w:rPr>
          <w:rFonts w:ascii="Tahoma" w:hAnsi="Tahoma" w:cs="Tahoma"/>
          <w:sz w:val="22"/>
          <w:szCs w:val="22"/>
        </w:rPr>
        <w:t>.</w:t>
      </w:r>
    </w:p>
    <w:p w:rsidR="00ED6DB8" w:rsidRDefault="00ED6DB8" w:rsidP="00ED6DB8">
      <w:pPr>
        <w:spacing w:line="360" w:lineRule="auto"/>
        <w:jc w:val="both"/>
        <w:rPr>
          <w:rFonts w:ascii="Tahoma" w:hAnsi="Tahoma" w:cs="Tahoma"/>
          <w:sz w:val="22"/>
          <w:szCs w:val="22"/>
        </w:rPr>
      </w:pPr>
    </w:p>
    <w:p w:rsidR="00ED6DB8" w:rsidRPr="00122F6C" w:rsidRDefault="00ED6DB8" w:rsidP="00ED6DB8">
      <w:pPr>
        <w:spacing w:line="360" w:lineRule="auto"/>
        <w:jc w:val="both"/>
        <w:rPr>
          <w:rFonts w:ascii="Tahoma" w:hAnsi="Tahoma" w:cs="Tahoma"/>
          <w:b/>
        </w:rPr>
      </w:pPr>
      <w:r w:rsidRPr="007C44FF">
        <w:rPr>
          <w:rFonts w:ascii="Tahoma" w:hAnsi="Tahoma" w:cs="Tahoma"/>
          <w:sz w:val="22"/>
          <w:szCs w:val="22"/>
        </w:rPr>
        <w:t xml:space="preserve">     </w:t>
      </w:r>
      <w:r w:rsidRPr="00122F6C">
        <w:rPr>
          <w:rFonts w:ascii="Tahoma" w:hAnsi="Tahoma" w:cs="Tahoma"/>
          <w:b/>
        </w:rPr>
        <w:t>2.2. Η εκτίμηση του κινδύνου</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Στις ΗΠΑ, παρά το γεγονός ότι η επιστημονική εκτίμηση του κινδύνου θεωρείται η λυδία λίθος για τη λήψη των αποφάσεων σχετικά με τους περιβαλλοντικούς κινδύνους, οι αρμόδιες ομοσπονδιακές αρχές (κυρίως, η EPA, η </w:t>
      </w:r>
      <w:r w:rsidRPr="007C44FF">
        <w:rPr>
          <w:rFonts w:ascii="Tahoma" w:hAnsi="Tahoma" w:cs="Tahoma"/>
          <w:sz w:val="22"/>
          <w:szCs w:val="22"/>
          <w:lang w:val="en-US"/>
        </w:rPr>
        <w:t>Occupational</w:t>
      </w:r>
      <w:r w:rsidRPr="007C44FF">
        <w:rPr>
          <w:rFonts w:ascii="Tahoma" w:hAnsi="Tahoma" w:cs="Tahoma"/>
          <w:sz w:val="22"/>
          <w:szCs w:val="22"/>
        </w:rPr>
        <w:t xml:space="preserve"> </w:t>
      </w:r>
      <w:r w:rsidRPr="007C44FF">
        <w:rPr>
          <w:rFonts w:ascii="Tahoma" w:hAnsi="Tahoma" w:cs="Tahoma"/>
          <w:sz w:val="22"/>
          <w:szCs w:val="22"/>
          <w:lang w:val="en-US"/>
        </w:rPr>
        <w:t>Safety</w:t>
      </w:r>
      <w:r w:rsidRPr="007C44FF">
        <w:rPr>
          <w:rFonts w:ascii="Tahoma" w:hAnsi="Tahoma" w:cs="Tahoma"/>
          <w:sz w:val="22"/>
          <w:szCs w:val="22"/>
        </w:rPr>
        <w:t xml:space="preserve"> </w:t>
      </w:r>
      <w:r w:rsidRPr="007C44FF">
        <w:rPr>
          <w:rFonts w:ascii="Tahoma" w:hAnsi="Tahoma" w:cs="Tahoma"/>
          <w:sz w:val="22"/>
          <w:szCs w:val="22"/>
          <w:lang w:val="en-US"/>
        </w:rPr>
        <w:t>and</w:t>
      </w:r>
      <w:r w:rsidRPr="007C44FF">
        <w:rPr>
          <w:rFonts w:ascii="Tahoma" w:hAnsi="Tahoma" w:cs="Tahoma"/>
          <w:sz w:val="22"/>
          <w:szCs w:val="22"/>
        </w:rPr>
        <w:t xml:space="preserve"> </w:t>
      </w:r>
      <w:r w:rsidRPr="007C44FF">
        <w:rPr>
          <w:rFonts w:ascii="Tahoma" w:hAnsi="Tahoma" w:cs="Tahoma"/>
          <w:sz w:val="22"/>
          <w:szCs w:val="22"/>
          <w:lang w:val="en-US"/>
        </w:rPr>
        <w:t>Health</w:t>
      </w:r>
      <w:r w:rsidRPr="007C44FF">
        <w:rPr>
          <w:rFonts w:ascii="Tahoma" w:hAnsi="Tahoma" w:cs="Tahoma"/>
          <w:sz w:val="22"/>
          <w:szCs w:val="22"/>
        </w:rPr>
        <w:t xml:space="preserve"> </w:t>
      </w:r>
      <w:r w:rsidRPr="007C44FF">
        <w:rPr>
          <w:rFonts w:ascii="Tahoma" w:hAnsi="Tahoma" w:cs="Tahoma"/>
          <w:sz w:val="22"/>
          <w:szCs w:val="22"/>
          <w:lang w:val="en-US"/>
        </w:rPr>
        <w:t>Administration</w:t>
      </w:r>
      <w:r w:rsidRPr="007C44FF">
        <w:rPr>
          <w:rFonts w:ascii="Tahoma" w:hAnsi="Tahoma" w:cs="Tahoma"/>
          <w:sz w:val="22"/>
          <w:szCs w:val="22"/>
        </w:rPr>
        <w:t xml:space="preserve"> [</w:t>
      </w:r>
      <w:r w:rsidRPr="007C44FF">
        <w:rPr>
          <w:rFonts w:ascii="Tahoma" w:hAnsi="Tahoma" w:cs="Tahoma"/>
          <w:sz w:val="22"/>
          <w:szCs w:val="22"/>
          <w:lang w:val="en-US"/>
        </w:rPr>
        <w:t>OSHA</w:t>
      </w:r>
      <w:r w:rsidRPr="007C44FF">
        <w:rPr>
          <w:rFonts w:ascii="Tahoma" w:hAnsi="Tahoma" w:cs="Tahoma"/>
          <w:sz w:val="22"/>
          <w:szCs w:val="22"/>
        </w:rPr>
        <w:t xml:space="preserve">] και η </w:t>
      </w:r>
      <w:r w:rsidRPr="007C44FF">
        <w:rPr>
          <w:rFonts w:ascii="Tahoma" w:hAnsi="Tahoma" w:cs="Tahoma"/>
          <w:sz w:val="22"/>
          <w:szCs w:val="22"/>
          <w:lang w:val="en-US"/>
        </w:rPr>
        <w:t>Food</w:t>
      </w:r>
      <w:r w:rsidRPr="007C44FF">
        <w:rPr>
          <w:rFonts w:ascii="Tahoma" w:hAnsi="Tahoma" w:cs="Tahoma"/>
          <w:sz w:val="22"/>
          <w:szCs w:val="22"/>
        </w:rPr>
        <w:t xml:space="preserve"> </w:t>
      </w:r>
      <w:r w:rsidRPr="007C44FF">
        <w:rPr>
          <w:rFonts w:ascii="Tahoma" w:hAnsi="Tahoma" w:cs="Tahoma"/>
          <w:sz w:val="22"/>
          <w:szCs w:val="22"/>
          <w:lang w:val="en-US"/>
        </w:rPr>
        <w:t>and</w:t>
      </w:r>
      <w:r w:rsidRPr="007C44FF">
        <w:rPr>
          <w:rFonts w:ascii="Tahoma" w:hAnsi="Tahoma" w:cs="Tahoma"/>
          <w:sz w:val="22"/>
          <w:szCs w:val="22"/>
        </w:rPr>
        <w:t xml:space="preserve"> </w:t>
      </w:r>
      <w:r w:rsidRPr="007C44FF">
        <w:rPr>
          <w:rFonts w:ascii="Tahoma" w:hAnsi="Tahoma" w:cs="Tahoma"/>
          <w:sz w:val="22"/>
          <w:szCs w:val="22"/>
          <w:lang w:val="en-US"/>
        </w:rPr>
        <w:t>Drug</w:t>
      </w:r>
      <w:r w:rsidRPr="007C44FF">
        <w:rPr>
          <w:rFonts w:ascii="Tahoma" w:hAnsi="Tahoma" w:cs="Tahoma"/>
          <w:sz w:val="22"/>
          <w:szCs w:val="22"/>
        </w:rPr>
        <w:t xml:space="preserve"> </w:t>
      </w:r>
      <w:r w:rsidRPr="007C44FF">
        <w:rPr>
          <w:rFonts w:ascii="Tahoma" w:hAnsi="Tahoma" w:cs="Tahoma"/>
          <w:sz w:val="22"/>
          <w:szCs w:val="22"/>
          <w:lang w:val="en-US"/>
        </w:rPr>
        <w:t>Administration</w:t>
      </w:r>
      <w:r w:rsidRPr="007C44FF">
        <w:rPr>
          <w:rFonts w:ascii="Tahoma" w:hAnsi="Tahoma" w:cs="Tahoma"/>
          <w:sz w:val="22"/>
          <w:szCs w:val="22"/>
        </w:rPr>
        <w:t xml:space="preserve"> [</w:t>
      </w:r>
      <w:r w:rsidRPr="007C44FF">
        <w:rPr>
          <w:rFonts w:ascii="Tahoma" w:hAnsi="Tahoma" w:cs="Tahoma"/>
          <w:sz w:val="22"/>
          <w:szCs w:val="22"/>
          <w:lang w:val="en-US"/>
        </w:rPr>
        <w:t>FDA</w:t>
      </w:r>
      <w:r w:rsidRPr="007C44FF">
        <w:rPr>
          <w:rFonts w:ascii="Tahoma" w:hAnsi="Tahoma" w:cs="Tahoma"/>
          <w:sz w:val="22"/>
          <w:szCs w:val="22"/>
        </w:rPr>
        <w:t>])  ευθύς εξ αρχής προσέδωσαν περιορισμένο ρόλο στην επιστήμη, εστιάζοντας την προσοχή τους στις ευρύτερες παραμέτρους του ύστερου σταδίου της διαχείρισης του κινδύνου</w:t>
      </w:r>
      <w:r w:rsidRPr="007C44FF">
        <w:rPr>
          <w:rStyle w:val="FootnoteReference"/>
          <w:rFonts w:ascii="Tahoma" w:hAnsi="Tahoma" w:cs="Tahoma"/>
          <w:sz w:val="22"/>
          <w:szCs w:val="22"/>
        </w:rPr>
        <w:footnoteReference w:id="8"/>
      </w:r>
      <w:r w:rsidRPr="007C44FF">
        <w:rPr>
          <w:rFonts w:ascii="Tahoma" w:hAnsi="Tahoma" w:cs="Tahoma"/>
          <w:sz w:val="22"/>
          <w:szCs w:val="22"/>
        </w:rPr>
        <w:t>. Αυτή η προσέγγιση, την οποία ακολουθούσαν εκτός από τη διοίκηση και τα δικαστήρια ανατράπηκε με την απόφαση που εξέδωσε το Α</w:t>
      </w:r>
      <w:r>
        <w:rPr>
          <w:rFonts w:ascii="Tahoma" w:hAnsi="Tahoma" w:cs="Tahoma"/>
          <w:sz w:val="22"/>
          <w:szCs w:val="22"/>
        </w:rPr>
        <w:t xml:space="preserve">νώτατο Δικαστήριο των ΗΠΑ στην </w:t>
      </w:r>
      <w:r w:rsidRPr="007C44FF">
        <w:rPr>
          <w:rFonts w:ascii="Tahoma" w:hAnsi="Tahoma" w:cs="Tahoma"/>
          <w:sz w:val="22"/>
          <w:szCs w:val="22"/>
        </w:rPr>
        <w:t xml:space="preserve">υπόθεση </w:t>
      </w:r>
      <w:r>
        <w:rPr>
          <w:rFonts w:ascii="Tahoma" w:hAnsi="Tahoma" w:cs="Tahoma"/>
          <w:sz w:val="22"/>
          <w:szCs w:val="22"/>
        </w:rPr>
        <w:t>‘‘</w:t>
      </w:r>
      <w:r w:rsidRPr="007C44FF">
        <w:rPr>
          <w:rFonts w:ascii="Tahoma" w:hAnsi="Tahoma" w:cs="Tahoma"/>
          <w:sz w:val="22"/>
          <w:szCs w:val="22"/>
          <w:lang w:val="en-US"/>
        </w:rPr>
        <w:t>Benzene</w:t>
      </w:r>
      <w:r>
        <w:rPr>
          <w:rFonts w:ascii="Tahoma" w:hAnsi="Tahoma" w:cs="Tahoma"/>
          <w:sz w:val="22"/>
          <w:szCs w:val="22"/>
        </w:rPr>
        <w:t>’</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Η  ως άνω απόφαση, αφού ανέτρεψε την μέχρι τότε νομολογία, αποτέλεσε και την αφετηρία για την ανάδειξη της ποσοτικής εκτίμησης του κινδύνου (</w:t>
      </w:r>
      <w:r w:rsidRPr="007C44FF">
        <w:rPr>
          <w:rFonts w:ascii="Tahoma" w:hAnsi="Tahoma" w:cs="Tahoma"/>
          <w:sz w:val="22"/>
          <w:szCs w:val="22"/>
          <w:lang w:val="en-US"/>
        </w:rPr>
        <w:t>quantitative</w:t>
      </w:r>
      <w:r w:rsidRPr="007C44FF">
        <w:rPr>
          <w:rFonts w:ascii="Tahoma" w:hAnsi="Tahoma" w:cs="Tahoma"/>
          <w:sz w:val="22"/>
          <w:szCs w:val="22"/>
        </w:rPr>
        <w:t xml:space="preserve"> </w:t>
      </w:r>
      <w:r w:rsidRPr="007C44FF">
        <w:rPr>
          <w:rFonts w:ascii="Tahoma" w:hAnsi="Tahoma" w:cs="Tahoma"/>
          <w:sz w:val="22"/>
          <w:szCs w:val="22"/>
          <w:lang w:val="en-US"/>
        </w:rPr>
        <w:t>risk</w:t>
      </w:r>
      <w:r w:rsidRPr="007C44FF">
        <w:rPr>
          <w:rFonts w:ascii="Tahoma" w:hAnsi="Tahoma" w:cs="Tahoma"/>
          <w:sz w:val="22"/>
          <w:szCs w:val="22"/>
        </w:rPr>
        <w:t xml:space="preserve"> </w:t>
      </w:r>
      <w:r w:rsidRPr="007C44FF">
        <w:rPr>
          <w:rFonts w:ascii="Tahoma" w:hAnsi="Tahoma" w:cs="Tahoma"/>
          <w:sz w:val="22"/>
          <w:szCs w:val="22"/>
          <w:lang w:val="en-US"/>
        </w:rPr>
        <w:t>assessment</w:t>
      </w:r>
      <w:r w:rsidRPr="007C44FF">
        <w:rPr>
          <w:rFonts w:ascii="Tahoma" w:hAnsi="Tahoma" w:cs="Tahoma"/>
          <w:sz w:val="22"/>
          <w:szCs w:val="22"/>
        </w:rPr>
        <w:t>) ως το κατεξοχήν εργαλείο άσκησης πολιτικής στον τομέα της προστασίας του περιβάλλοντος και της δημόσιας υγείας στις ΗΠΑ</w:t>
      </w:r>
      <w:r w:rsidRPr="007C44FF">
        <w:rPr>
          <w:rStyle w:val="FootnoteReference"/>
          <w:rFonts w:ascii="Tahoma" w:hAnsi="Tahoma" w:cs="Tahoma"/>
          <w:sz w:val="22"/>
          <w:szCs w:val="22"/>
        </w:rPr>
        <w:footnoteReference w:id="9"/>
      </w:r>
      <w:r w:rsidRPr="007C44FF">
        <w:rPr>
          <w:rFonts w:ascii="Tahoma" w:hAnsi="Tahoma" w:cs="Tahoma"/>
          <w:sz w:val="22"/>
          <w:szCs w:val="22"/>
        </w:rPr>
        <w:t xml:space="preserve">. Η τομή την οποία επέφερε η ως άνω απόφαση στον τρόπο ρύθμισης των περιβαλλοντικών κινδύνων, γίνεται ευκρινέστερη αν αναλογιστεί κανείς ότι η ποσοτική εκτίμηση του κινδύνου δεν </w:t>
      </w:r>
      <w:r w:rsidRPr="007C44FF">
        <w:rPr>
          <w:rFonts w:ascii="Tahoma" w:hAnsi="Tahoma" w:cs="Tahoma"/>
          <w:sz w:val="22"/>
          <w:szCs w:val="22"/>
        </w:rPr>
        <w:lastRenderedPageBreak/>
        <w:t>προβλέπονταν από τη σχετική νομοθεσία</w:t>
      </w:r>
      <w:r w:rsidRPr="007C44FF">
        <w:rPr>
          <w:rStyle w:val="FootnoteReference"/>
          <w:rFonts w:ascii="Tahoma" w:hAnsi="Tahoma" w:cs="Tahoma"/>
          <w:sz w:val="22"/>
          <w:szCs w:val="22"/>
        </w:rPr>
        <w:footnoteReference w:id="10"/>
      </w:r>
      <w:r w:rsidRPr="007C44FF">
        <w:rPr>
          <w:rFonts w:ascii="Tahoma" w:hAnsi="Tahoma" w:cs="Tahoma"/>
          <w:sz w:val="22"/>
          <w:szCs w:val="22"/>
        </w:rPr>
        <w:t>.  Ωστόσο, η ποσοτική εκτίμηση των κινδύνων συνεχίζει να αποτελεί αντικείμενο έντονων αμφισβητήσεων τόσο στη θεωρία όσο και στη νομολογία</w:t>
      </w:r>
      <w:r w:rsidRPr="007C44FF">
        <w:rPr>
          <w:rStyle w:val="FootnoteReference"/>
          <w:rFonts w:ascii="Tahoma" w:hAnsi="Tahoma" w:cs="Tahoma"/>
          <w:sz w:val="22"/>
          <w:szCs w:val="22"/>
        </w:rPr>
        <w:footnoteReference w:id="11"/>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Στο ερώτημα λοιπόν που εύλογα τίθεται, αν υπάρχει κοινά αποδεκτή μεθοδολογία</w:t>
      </w:r>
      <w:r>
        <w:rPr>
          <w:rFonts w:ascii="Tahoma" w:hAnsi="Tahoma" w:cs="Tahoma"/>
          <w:sz w:val="22"/>
          <w:szCs w:val="22"/>
        </w:rPr>
        <w:t xml:space="preserve"> για την εκτίμηση του κινδύνου</w:t>
      </w:r>
      <w:r w:rsidRPr="007C44FF">
        <w:rPr>
          <w:rFonts w:ascii="Tahoma" w:hAnsi="Tahoma" w:cs="Tahoma"/>
          <w:sz w:val="22"/>
          <w:szCs w:val="22"/>
        </w:rPr>
        <w:t xml:space="preserve"> η οποία να αναγνωρίζεται στο διεθνές και στο κοινοτικό δίκαιο, η απάντηση είναι αρνητική</w:t>
      </w:r>
      <w:r w:rsidRPr="007C44FF">
        <w:rPr>
          <w:rStyle w:val="FootnoteReference"/>
          <w:rFonts w:ascii="Tahoma" w:hAnsi="Tahoma" w:cs="Tahoma"/>
          <w:sz w:val="22"/>
          <w:szCs w:val="22"/>
        </w:rPr>
        <w:footnoteReference w:id="12"/>
      </w:r>
      <w:r w:rsidRPr="007C44FF">
        <w:rPr>
          <w:rFonts w:ascii="Tahoma" w:hAnsi="Tahoma" w:cs="Tahoma"/>
          <w:sz w:val="22"/>
          <w:szCs w:val="22"/>
        </w:rPr>
        <w:t>. Τούτο διότι για το ουσιαστικό περιεχόμενο της εκτίμησης του κινδύνου υπάρχουν αποκλίνουσες απόψεις, τόσο στο αμερικανικό όσο στο κοινοτικό και στο διεθνές δίκαιο</w:t>
      </w:r>
      <w:r w:rsidRPr="007C44FF">
        <w:rPr>
          <w:rStyle w:val="FootnoteReference"/>
          <w:rFonts w:ascii="Tahoma" w:hAnsi="Tahoma" w:cs="Tahoma"/>
          <w:sz w:val="22"/>
          <w:szCs w:val="22"/>
        </w:rPr>
        <w:footnoteReference w:id="13"/>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Η</w:t>
      </w:r>
      <w:r w:rsidRPr="007C44FF">
        <w:rPr>
          <w:rFonts w:ascii="Tahoma" w:hAnsi="Tahoma" w:cs="Tahoma"/>
          <w:sz w:val="22"/>
          <w:szCs w:val="22"/>
        </w:rPr>
        <w:t xml:space="preserve"> διαπίστωση δε αυτή προκύπτει από την ανάλυση των παραμέτρων της εκτίμησης του κινδύνου, που είναι: α) ο εντοπισμός της πηγής του κινδύνου, β) η εκτίμηση δόσης-απόκρισης, γ) η εκτίμηση της έκθεσης και  δ) ο χαρακτηρισμός του κινδύνου</w:t>
      </w:r>
      <w:r w:rsidRPr="007C44FF">
        <w:rPr>
          <w:rStyle w:val="FootnoteReference"/>
          <w:rFonts w:ascii="Tahoma" w:hAnsi="Tahoma" w:cs="Tahoma"/>
          <w:sz w:val="22"/>
          <w:szCs w:val="22"/>
        </w:rPr>
        <w:footnoteReference w:id="14"/>
      </w:r>
      <w:r w:rsidRPr="007C44FF">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b/>
          <w:sz w:val="22"/>
          <w:szCs w:val="22"/>
        </w:rPr>
      </w:pPr>
      <w:r w:rsidRPr="007C44FF">
        <w:rPr>
          <w:rFonts w:ascii="Tahoma" w:hAnsi="Tahoma" w:cs="Tahoma"/>
          <w:b/>
          <w:sz w:val="22"/>
          <w:szCs w:val="22"/>
        </w:rPr>
        <w:t>2.2.1. Οι παράμετροι της εκτίμησης του κινδύνου</w:t>
      </w:r>
    </w:p>
    <w:p w:rsidR="00ED6DB8" w:rsidRPr="007C44FF" w:rsidRDefault="00ED6DB8" w:rsidP="00ED6DB8">
      <w:pPr>
        <w:spacing w:line="360" w:lineRule="auto"/>
        <w:jc w:val="both"/>
        <w:rPr>
          <w:rFonts w:ascii="Tahoma" w:hAnsi="Tahoma" w:cs="Tahoma"/>
          <w:b/>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Α. Ο εντοπισμός του κινδύνου</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Ο εντοπισμός του κινδύνου είναι η διαδικασία  προσδιορισμού των βιολογικών, χημικών ή φυσικών παραγόντων, η έκθεση στους οποίους μπορεί να έχει δυσμενή αποτελέσματα στην υγεία του ανθρώπου και στο περιβάλλον</w:t>
      </w:r>
      <w:r w:rsidRPr="007C44FF">
        <w:rPr>
          <w:rStyle w:val="FootnoteReference"/>
          <w:rFonts w:ascii="Tahoma" w:hAnsi="Tahoma" w:cs="Tahoma"/>
          <w:sz w:val="22"/>
          <w:szCs w:val="22"/>
        </w:rPr>
        <w:footnoteReference w:id="15"/>
      </w:r>
      <w:r w:rsidRPr="007C44FF">
        <w:rPr>
          <w:rFonts w:ascii="Tahoma" w:hAnsi="Tahoma" w:cs="Tahoma"/>
          <w:sz w:val="22"/>
          <w:szCs w:val="22"/>
        </w:rPr>
        <w:t xml:space="preserve">. Στηρίζεται σε μία ή περισσότερες από τις παρακάτω τέσσερις πηγές πληροφόρησης: 1) στα ελεγχόμενα </w:t>
      </w:r>
      <w:r w:rsidRPr="007C44FF">
        <w:rPr>
          <w:rFonts w:ascii="Tahoma" w:hAnsi="Tahoma" w:cs="Tahoma"/>
          <w:sz w:val="22"/>
          <w:szCs w:val="22"/>
        </w:rPr>
        <w:lastRenderedPageBreak/>
        <w:t>τεστ σε ανθρώπους, 2) στις επιδημιολογικές μελέτες, 3) στα πειράματα στα ζώα και 4) στις συγκρίσεις των χημικών ή φυσικών ιδιοτήτων του εξεταζόμενου παράγοντα με εκείνες γνωστών επικίνδυνων παραγόντων</w:t>
      </w:r>
      <w:r w:rsidRPr="007C44FF">
        <w:rPr>
          <w:rStyle w:val="FootnoteReference"/>
          <w:rFonts w:ascii="Tahoma" w:hAnsi="Tahoma" w:cs="Tahoma"/>
          <w:sz w:val="22"/>
          <w:szCs w:val="22"/>
        </w:rPr>
        <w:footnoteReference w:id="16"/>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1) Είναι γενικά αποδεκτό ότι η πιο αξιόπιστη και έγκυρη απόδειξη της τοξικότητας προέρχεται από τα ελεγχόμενα τεστ σε ανθρώπους</w:t>
      </w:r>
      <w:r w:rsidRPr="007C44FF">
        <w:rPr>
          <w:rStyle w:val="FootnoteReference"/>
          <w:rFonts w:ascii="Tahoma" w:hAnsi="Tahoma" w:cs="Tahoma"/>
          <w:sz w:val="22"/>
          <w:szCs w:val="22"/>
        </w:rPr>
        <w:footnoteReference w:id="17"/>
      </w:r>
      <w:r w:rsidRPr="007C44FF">
        <w:rPr>
          <w:rFonts w:ascii="Tahoma" w:hAnsi="Tahoma" w:cs="Tahoma"/>
          <w:sz w:val="22"/>
          <w:szCs w:val="22"/>
        </w:rPr>
        <w:t>. Ωστόσο, οι επιβαλλόμενοι ηθικοί περιορισμοί δεν επιτρέπουν την επαρκή διαθεσιμότητα αυτού του είδους της πηγής πληροφό</w:t>
      </w:r>
      <w:r>
        <w:rPr>
          <w:rFonts w:ascii="Tahoma" w:hAnsi="Tahoma" w:cs="Tahoma"/>
          <w:sz w:val="22"/>
          <w:szCs w:val="22"/>
        </w:rPr>
        <w:t>ρησης. Π</w:t>
      </w:r>
      <w:r w:rsidRPr="007C44FF">
        <w:rPr>
          <w:rFonts w:ascii="Tahoma" w:hAnsi="Tahoma" w:cs="Tahoma"/>
          <w:sz w:val="22"/>
          <w:szCs w:val="22"/>
        </w:rPr>
        <w:t>έραν δε αυτού, στην περίπτωση των καρκινογενέσεων χρειάζονται πολλές δεκαετίες για να εκδηλωθούν τα συμπτώματα</w:t>
      </w:r>
      <w:r w:rsidRPr="007C44FF">
        <w:rPr>
          <w:rStyle w:val="FootnoteReference"/>
          <w:rFonts w:ascii="Tahoma" w:hAnsi="Tahoma" w:cs="Tahoma"/>
          <w:sz w:val="22"/>
          <w:szCs w:val="22"/>
        </w:rPr>
        <w:footnoteReference w:id="18"/>
      </w:r>
      <w:r w:rsidRPr="007C44FF">
        <w:rPr>
          <w:rFonts w:ascii="Tahoma" w:hAnsi="Tahoma" w:cs="Tahoma"/>
          <w:sz w:val="22"/>
          <w:szCs w:val="22"/>
        </w:rPr>
        <w:t>. Επομένως, η πιο αξιόπιστη πηγή πληροφόρησης έχει περιορισμένες δυνατότητες αξιοποίησης.</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2) Οι επιδημιολογικές μελέτες συνίστανται στις στατιστικές συγκρίσεις μεταξύ ανθρώπων οι οποίοι εκτέθηκαν σε ένα παράγοντα, περισσότερο από το κανονικό και αυτών οι οποίοι εκτέθηκαν λιγότερο ή καθόλου</w:t>
      </w:r>
      <w:r w:rsidRPr="007C44FF">
        <w:rPr>
          <w:rStyle w:val="FootnoteReference"/>
          <w:rFonts w:ascii="Tahoma" w:hAnsi="Tahoma" w:cs="Tahoma"/>
          <w:sz w:val="22"/>
          <w:szCs w:val="22"/>
        </w:rPr>
        <w:footnoteReference w:id="19"/>
      </w:r>
      <w:r w:rsidRPr="007C44FF">
        <w:rPr>
          <w:rFonts w:ascii="Tahoma" w:hAnsi="Tahoma" w:cs="Tahoma"/>
          <w:sz w:val="22"/>
          <w:szCs w:val="22"/>
        </w:rPr>
        <w:t>. Ειδικότερα, η σύγκριση αφορά στη συχνότητα εμφάνισης της νόσου, από τη μια πλευρά στον πληθυσμό που εκτέθηκε και από την άλλη σ’ αυτόν που δεν εκτέθηκε, ώστε να προκύψει η σχέση της νόσου με το βαθμό έκθεσης, δηλαδή ο αιτιώδης σύνδεσμος. Ωστόσο, ο τελευταίος δεν μπορεί να προκύψει με βεβαιότητα διότι υπάρχουν λάθη μέτρησης, τα οποία συνδέονται με την επιλογή του πληθυσμού, με την πρόσβαση στην πληροφόρηση και με την έλλειψη απόλυτων κριτηρίων αξιολόγησης της επιδημιολογικής μελέτης</w:t>
      </w:r>
      <w:r w:rsidRPr="007C44FF">
        <w:rPr>
          <w:rStyle w:val="FootnoteReference"/>
          <w:rFonts w:ascii="Tahoma" w:hAnsi="Tahoma" w:cs="Tahoma"/>
          <w:sz w:val="22"/>
          <w:szCs w:val="22"/>
        </w:rPr>
        <w:footnoteReference w:id="20"/>
      </w:r>
      <w:r w:rsidRPr="007C44FF">
        <w:rPr>
          <w:rFonts w:ascii="Tahoma" w:hAnsi="Tahoma" w:cs="Tahoma"/>
          <w:sz w:val="22"/>
          <w:szCs w:val="22"/>
        </w:rPr>
        <w:t>. Επί πλέον, η αξιοπιστία της στατιστικής μέτρησης για την απόδειξη του αιτιώδους συνδέσμου εξαρτάται από διάφορους παράγοντες, όπως: α) το μέγεθος του πληθυσμού, β) το επίπεδο και τη διάρκεια της έκθεσης, γ) τη συχνότητα της νόσου στο γενικό πληθυσμό και δ) την ταυτοποίηση του επιπέδου του κινδύνου</w:t>
      </w:r>
      <w:r w:rsidRPr="007C44FF">
        <w:rPr>
          <w:rStyle w:val="FootnoteReference"/>
          <w:rFonts w:ascii="Tahoma" w:hAnsi="Tahoma" w:cs="Tahoma"/>
          <w:sz w:val="22"/>
          <w:szCs w:val="22"/>
        </w:rPr>
        <w:footnoteReference w:id="21"/>
      </w:r>
      <w:r w:rsidRPr="007C44FF">
        <w:rPr>
          <w:rFonts w:ascii="Tahoma" w:hAnsi="Tahoma" w:cs="Tahoma"/>
          <w:sz w:val="22"/>
          <w:szCs w:val="22"/>
        </w:rPr>
        <w:t xml:space="preserve">. Η εμπιστοσύνη για τα συμπεράσματα μιας επιδημιολογικής μελέτης, σύμφωνα με την οποία δεν αποδείχθηκαν αρνητικές επιπτώσεις, εξαρτάται εξ ολοκλήρου από τη δυνατότητά της να τις διακριβώσει. Όμως, αυτή η δυνατότητα είναι πολύ περιορισμένη, διότι οι ευρείας κλίμακας απαιτούμενες επιδημιολογικές μελέτες </w:t>
      </w:r>
      <w:r w:rsidRPr="007C44FF">
        <w:rPr>
          <w:rFonts w:ascii="Tahoma" w:hAnsi="Tahoma" w:cs="Tahoma"/>
          <w:sz w:val="22"/>
          <w:szCs w:val="22"/>
        </w:rPr>
        <w:lastRenderedPageBreak/>
        <w:t>διενεργούνται σπανίως λόγω του  μεγάλου κόστους τους</w:t>
      </w:r>
      <w:r w:rsidRPr="007C44FF">
        <w:rPr>
          <w:rStyle w:val="FootnoteReference"/>
          <w:rFonts w:ascii="Tahoma" w:hAnsi="Tahoma" w:cs="Tahoma"/>
          <w:sz w:val="22"/>
          <w:szCs w:val="22"/>
        </w:rPr>
        <w:footnoteReference w:id="22"/>
      </w:r>
      <w:r w:rsidRPr="007C44FF">
        <w:rPr>
          <w:rFonts w:ascii="Tahoma" w:hAnsi="Tahoma" w:cs="Tahoma"/>
          <w:sz w:val="22"/>
          <w:szCs w:val="22"/>
        </w:rPr>
        <w:t>. Κατά συνέπεια, μια αρνητική επιδημιολογική μελέτη σπάνια  μπορεί να δικαιολογήσει ένα απόλυτο συμπέρασμα κατά  το οποίο, η έκθεση του ανθρώπου σε μια ουσία δεν τελεί σε αιτιώδη σύνδεσμο με την ασθένεια</w:t>
      </w:r>
      <w:r w:rsidRPr="007C44FF">
        <w:rPr>
          <w:rStyle w:val="FootnoteReference"/>
          <w:rFonts w:ascii="Tahoma" w:hAnsi="Tahoma" w:cs="Tahoma"/>
          <w:sz w:val="22"/>
          <w:szCs w:val="22"/>
        </w:rPr>
        <w:footnoteReference w:id="23"/>
      </w:r>
      <w:r w:rsidRPr="007C44FF">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3) Επειδή τα πειράματα στους ανθρώπους, συνήθως, είναι αδύνατο να πραγματοποιηθούν, οι δε αξιόπιστες επιδημιολογικές μελέτες είτε είναι δύσκολο, λόγω του κόστους, να διεξαχθούν είτε προσφέρουν σημαντική πληροφόρηση πλην όμως μετά την εμφάνιση της βλάβης στους ανθρώπους, οι αρμόδιες αρχές προσφεύγουν στα πειράματα στα ζώα για να εκτιμήσουν την επικινδυνότητα μιας ουσίας ή ενός τροφίμου κλπ</w:t>
      </w:r>
      <w:r w:rsidRPr="007C44FF">
        <w:rPr>
          <w:rStyle w:val="FootnoteReference"/>
          <w:rFonts w:ascii="Tahoma" w:hAnsi="Tahoma" w:cs="Tahoma"/>
          <w:sz w:val="22"/>
          <w:szCs w:val="22"/>
        </w:rPr>
        <w:footnoteReference w:id="24"/>
      </w:r>
      <w:r w:rsidRPr="007C44FF">
        <w:rPr>
          <w:rFonts w:ascii="Tahoma" w:hAnsi="Tahoma" w:cs="Tahoma"/>
          <w:sz w:val="22"/>
          <w:szCs w:val="22"/>
        </w:rPr>
        <w:t>. Τα θετικά αποτελέσματα σε δύο ή περισσότερα είδη ζώων θεωρείται ότι αποτελούν ισχυρή απόδειξη για καρκινογένεση στον άνθρωπο. Ομοίως, δύο ή περισσότερα αρνητικά αποτελέσματα στα πειράματα σε ζώα, θεωρείται ότι δικαιολογούν το συμπέρασμα ότι ένας παράγοντας δεν προκαλεί καρκίνο στον άνθρωπο</w:t>
      </w:r>
      <w:r w:rsidRPr="007C44FF">
        <w:rPr>
          <w:rStyle w:val="FootnoteReference"/>
          <w:rFonts w:ascii="Tahoma" w:hAnsi="Tahoma" w:cs="Tahoma"/>
          <w:sz w:val="22"/>
          <w:szCs w:val="22"/>
        </w:rPr>
        <w:footnoteReference w:id="25"/>
      </w:r>
      <w:r w:rsidRPr="007C44FF">
        <w:rPr>
          <w:rFonts w:ascii="Tahoma" w:hAnsi="Tahoma" w:cs="Tahoma"/>
          <w:sz w:val="22"/>
          <w:szCs w:val="22"/>
        </w:rPr>
        <w:t>. Ωστόσο, υπάρχουν αμφιβολίες κατά πόσο τα αποτελέσματα των πειραμάτων στα ζώα ισχύουν και για τους ανθρώπους, δεδομένου ότι τα ανθρώπινα όργανα δεν είναι ίδια με αυτά των ποντικών ή των τρωκτικών</w:t>
      </w:r>
      <w:r w:rsidRPr="007C44FF">
        <w:rPr>
          <w:rStyle w:val="FootnoteReference"/>
          <w:rFonts w:ascii="Tahoma" w:hAnsi="Tahoma" w:cs="Tahoma"/>
          <w:sz w:val="22"/>
          <w:szCs w:val="22"/>
        </w:rPr>
        <w:footnoteReference w:id="26"/>
      </w:r>
      <w:r w:rsidRPr="007C44FF">
        <w:rPr>
          <w:rFonts w:ascii="Tahoma" w:hAnsi="Tahoma" w:cs="Tahoma"/>
          <w:sz w:val="22"/>
          <w:szCs w:val="22"/>
        </w:rPr>
        <w:t>, η δε δόση που δέχεται ένα πειραματόζωο δεν μπορεί να συγκριθεί με την έκθεση του ανθρώπου στην πραγματική ζωή</w:t>
      </w:r>
      <w:r w:rsidRPr="007C44FF">
        <w:rPr>
          <w:rStyle w:val="FootnoteReference"/>
          <w:rFonts w:ascii="Tahoma" w:hAnsi="Tahoma" w:cs="Tahoma"/>
          <w:sz w:val="22"/>
          <w:szCs w:val="22"/>
        </w:rPr>
        <w:footnoteReference w:id="27"/>
      </w:r>
      <w:r w:rsidRPr="007C44FF">
        <w:rPr>
          <w:rFonts w:ascii="Tahoma" w:hAnsi="Tahoma" w:cs="Tahoma"/>
          <w:sz w:val="22"/>
          <w:szCs w:val="22"/>
        </w:rPr>
        <w:t>. Η απόφαση λοιπόν να ληφθούν υπόψη τα πειράματα στα ζώα, στηρίζεται στην κανονιστικού χαρακτήρα επιλογή ότι η  αξία της επιστημονικής πληροφορίας που παρέχουν τα πειράματα στα ζώα υπερακοντίζει τις αβεβαιότητες σχετικά με την αξιοπιστία τους</w:t>
      </w:r>
      <w:r w:rsidRPr="007C44FF">
        <w:rPr>
          <w:rStyle w:val="FootnoteReference"/>
          <w:rFonts w:ascii="Tahoma" w:hAnsi="Tahoma" w:cs="Tahoma"/>
          <w:sz w:val="22"/>
          <w:szCs w:val="22"/>
        </w:rPr>
        <w:footnoteReference w:id="28"/>
      </w:r>
      <w:r w:rsidRPr="007C44FF">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4) Οι συγκρίσεις των χημικών ή φυσικών ιδιοτήτων του εξεταζόμενου παράγοντα με εκείνες γνωστών επικίνδυνων παραγόντων</w:t>
      </w:r>
      <w:r>
        <w:rPr>
          <w:rFonts w:ascii="Tahoma" w:hAnsi="Tahoma" w:cs="Tahoma"/>
          <w:sz w:val="22"/>
          <w:szCs w:val="22"/>
        </w:rPr>
        <w:t xml:space="preserve"> δεν είναι ιδιαίτερα αξιόπιστες.</w:t>
      </w:r>
      <w:r w:rsidRPr="007C44FF">
        <w:rPr>
          <w:rFonts w:ascii="Tahoma" w:hAnsi="Tahoma" w:cs="Tahoma"/>
          <w:sz w:val="22"/>
          <w:szCs w:val="22"/>
        </w:rPr>
        <w:t xml:space="preserve"> </w:t>
      </w:r>
      <w:r>
        <w:rPr>
          <w:rFonts w:ascii="Tahoma" w:hAnsi="Tahoma" w:cs="Tahoma"/>
          <w:sz w:val="22"/>
          <w:szCs w:val="22"/>
        </w:rPr>
        <w:t>Έ</w:t>
      </w:r>
      <w:r w:rsidRPr="007C44FF">
        <w:rPr>
          <w:rFonts w:ascii="Tahoma" w:hAnsi="Tahoma" w:cs="Tahoma"/>
          <w:sz w:val="22"/>
          <w:szCs w:val="22"/>
        </w:rPr>
        <w:t>χει αποδειχθεί ότι δύο χημικά προϊόντα</w:t>
      </w:r>
      <w:r>
        <w:rPr>
          <w:rFonts w:ascii="Tahoma" w:hAnsi="Tahoma" w:cs="Tahoma"/>
          <w:sz w:val="22"/>
          <w:szCs w:val="22"/>
        </w:rPr>
        <w:t>,</w:t>
      </w:r>
      <w:r w:rsidRPr="007C44FF">
        <w:rPr>
          <w:rFonts w:ascii="Tahoma" w:hAnsi="Tahoma" w:cs="Tahoma"/>
          <w:sz w:val="22"/>
          <w:szCs w:val="22"/>
        </w:rPr>
        <w:t xml:space="preserve"> τα οποία διαθέτουν ταυτόσημη χημική δομή</w:t>
      </w:r>
      <w:r>
        <w:rPr>
          <w:rFonts w:ascii="Tahoma" w:hAnsi="Tahoma" w:cs="Tahoma"/>
          <w:sz w:val="22"/>
          <w:szCs w:val="22"/>
        </w:rPr>
        <w:t>,</w:t>
      </w:r>
      <w:r w:rsidRPr="007C44FF">
        <w:rPr>
          <w:rFonts w:ascii="Tahoma" w:hAnsi="Tahoma" w:cs="Tahoma"/>
          <w:sz w:val="22"/>
          <w:szCs w:val="22"/>
        </w:rPr>
        <w:t xml:space="preserve"> </w:t>
      </w:r>
      <w:r w:rsidRPr="007C44FF">
        <w:rPr>
          <w:rFonts w:ascii="Tahoma" w:hAnsi="Tahoma" w:cs="Tahoma"/>
          <w:sz w:val="22"/>
          <w:szCs w:val="22"/>
        </w:rPr>
        <w:lastRenderedPageBreak/>
        <w:t>μπορούν να προκαλέσουν διαφορετικές αρνητικές επιπτώσεις</w:t>
      </w:r>
      <w:r w:rsidRPr="007C44FF">
        <w:rPr>
          <w:rStyle w:val="FootnoteReference"/>
          <w:rFonts w:ascii="Tahoma" w:hAnsi="Tahoma" w:cs="Tahoma"/>
          <w:sz w:val="22"/>
          <w:szCs w:val="22"/>
        </w:rPr>
        <w:footnoteReference w:id="29"/>
      </w:r>
      <w:r w:rsidRPr="007C44FF">
        <w:rPr>
          <w:rFonts w:ascii="Tahoma" w:hAnsi="Tahoma" w:cs="Tahoma"/>
          <w:sz w:val="22"/>
          <w:szCs w:val="22"/>
        </w:rPr>
        <w:t>. Γι’ αυτό το λόγο</w:t>
      </w:r>
      <w:r>
        <w:rPr>
          <w:rFonts w:ascii="Tahoma" w:hAnsi="Tahoma" w:cs="Tahoma"/>
          <w:sz w:val="22"/>
          <w:szCs w:val="22"/>
        </w:rPr>
        <w:t>,</w:t>
      </w:r>
      <w:r w:rsidRPr="007C44FF">
        <w:rPr>
          <w:rFonts w:ascii="Tahoma" w:hAnsi="Tahoma" w:cs="Tahoma"/>
          <w:sz w:val="22"/>
          <w:szCs w:val="22"/>
        </w:rPr>
        <w:t xml:space="preserve"> ο ρόλος τους σε πολλές εκτιμήσεις κινδύνου είναι πολύ περιορισμένος, οι δε αρμόδιες αρχές σπανίως στηρίζονται σε τέτοιου είδους συγκρίσεις για να προβούν σε ρυθμίσεις</w:t>
      </w:r>
      <w:r w:rsidRPr="007C44FF">
        <w:rPr>
          <w:rStyle w:val="FootnoteReference"/>
          <w:rFonts w:ascii="Tahoma" w:hAnsi="Tahoma" w:cs="Tahoma"/>
          <w:sz w:val="22"/>
          <w:szCs w:val="22"/>
        </w:rPr>
        <w:footnoteReference w:id="30"/>
      </w:r>
      <w:r w:rsidRPr="007C44FF">
        <w:rPr>
          <w:rFonts w:ascii="Tahoma" w:hAnsi="Tahoma" w:cs="Tahoma"/>
          <w:sz w:val="22"/>
          <w:szCs w:val="22"/>
        </w:rPr>
        <w:t>. Από τα παραπάνω λοιπόν προκύπτει ότι η διαδικασία για τον εντοπισμό του κινδύνου έχει ποιοτικά χαρακτηριστικά, διαπερνάται από επιστημονική αβεβαιότητα και στηρίζεται σε αξιολογικές κρίσεις. Γι’ αυτό το λόγο δεν μπορεί να θεωρηθεί ως αμιγώς επιστημονική διαδικασία</w:t>
      </w:r>
      <w:r w:rsidRPr="007C44FF">
        <w:rPr>
          <w:rStyle w:val="FootnoteReference"/>
          <w:rFonts w:ascii="Tahoma" w:hAnsi="Tahoma" w:cs="Tahoma"/>
          <w:sz w:val="22"/>
          <w:szCs w:val="22"/>
        </w:rPr>
        <w:footnoteReference w:id="31"/>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Β. Η εκτίμηση δόσης-απόκρισης</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Η εκτίμηση δόσης-απόκρισης είναι η διαδικασία για το χαρακτηρισμό της σχέσης μεταξύ της δεχόμενης δόσης από ένα παράγοντα και της πιθανότητας εμφάνισης αρνητικών επιπτώσεων στον εκτιθέμενο πληθυσμό</w:t>
      </w:r>
      <w:r w:rsidRPr="007C44FF">
        <w:rPr>
          <w:rStyle w:val="FootnoteReference"/>
          <w:rFonts w:ascii="Tahoma" w:hAnsi="Tahoma" w:cs="Tahoma"/>
          <w:sz w:val="22"/>
          <w:szCs w:val="22"/>
        </w:rPr>
        <w:footnoteReference w:id="32"/>
      </w:r>
      <w:r w:rsidRPr="007C44FF">
        <w:rPr>
          <w:rFonts w:ascii="Tahoma" w:hAnsi="Tahoma" w:cs="Tahoma"/>
          <w:sz w:val="22"/>
          <w:szCs w:val="22"/>
        </w:rPr>
        <w:t xml:space="preserve">. Επειδή η εν λόγω διαδικασία διεξάγεται, συνήθως, χωρίς να υπάρχει επιδημιολογική μελέτη, στηρίζεται στα αποτελέσματα των ελέγχων που έχουν γίνει στους ανθρώπους ή στα ζώα. Ειδικότερα, </w:t>
      </w:r>
      <w:r>
        <w:rPr>
          <w:rFonts w:ascii="Tahoma" w:hAnsi="Tahoma" w:cs="Tahoma"/>
          <w:sz w:val="22"/>
          <w:szCs w:val="22"/>
        </w:rPr>
        <w:t xml:space="preserve"> σε ό,τι αφορά </w:t>
      </w:r>
      <w:r w:rsidRPr="007C44FF">
        <w:rPr>
          <w:rFonts w:ascii="Tahoma" w:hAnsi="Tahoma" w:cs="Tahoma"/>
          <w:sz w:val="22"/>
          <w:szCs w:val="22"/>
        </w:rPr>
        <w:t>στα πειράματα σε ζώα, οι επιστήμονες τα εκθέτουν σε δόσεις, οι οποίες είναι έως και χίλιες φορές μεγαλύτερες σε σχέση με τις δόσεις που δέχονται οι άνθρωποι στην πραγματική ζωή</w:t>
      </w:r>
      <w:r w:rsidRPr="007C44FF">
        <w:rPr>
          <w:rStyle w:val="FootnoteReference"/>
          <w:rFonts w:ascii="Tahoma" w:hAnsi="Tahoma" w:cs="Tahoma"/>
          <w:sz w:val="22"/>
          <w:szCs w:val="22"/>
        </w:rPr>
        <w:footnoteReference w:id="33"/>
      </w:r>
      <w:r w:rsidRPr="007C44FF">
        <w:rPr>
          <w:rFonts w:ascii="Tahoma" w:hAnsi="Tahoma" w:cs="Tahoma"/>
          <w:sz w:val="22"/>
          <w:szCs w:val="22"/>
        </w:rPr>
        <w:t>. Επομένως, οι προβλέψεις δόσης-απόκρισης για την έκθεση των ανθρώπων δεν στηρίζονται σε παρατηρήσεις σε ανθρώπους αλλά σε μαθηματικά μοντέλα, τα οποία χρησιμοποιούν τα πειράματα με υψηλές δόσεις για να προβλέψουν τις επιπτώσεις στον άνθρωπο σε περιβαλλοντικές συνθήκες με χαμηλότερες δόσεις. Είναι φυσικό λοιπόν να υπάρχουν αβεβαιότητες στην εν λόγω διαδικασία, οι οποίες αφορούν στην αξιολόγηση των επιπτώσεων με βάση τη σύνδεση της δόσης-απόκρισης από τα ζώα στους ανθρώπους και από τις υψηλές στις χαμηλές δόσεις. Κατά συνέπεια η εν λόγω διαδικασία δεν οδηγεί στη συναγωγή αναμφισβήτητων συμπερασμάτων</w:t>
      </w:r>
      <w:r w:rsidRPr="007C44FF">
        <w:rPr>
          <w:rStyle w:val="FootnoteReference"/>
          <w:rFonts w:ascii="Tahoma" w:hAnsi="Tahoma" w:cs="Tahoma"/>
          <w:sz w:val="22"/>
          <w:szCs w:val="22"/>
        </w:rPr>
        <w:footnoteReference w:id="34"/>
      </w:r>
      <w:r w:rsidRPr="007C44FF">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lastRenderedPageBreak/>
        <w:t xml:space="preserve">      Γ. Η εκτίμηση της έκθεσης</w:t>
      </w:r>
    </w:p>
    <w:p w:rsidR="00ED6DB8" w:rsidRPr="007C44FF" w:rsidRDefault="00ED6DB8" w:rsidP="00ED6DB8">
      <w:pPr>
        <w:spacing w:line="360" w:lineRule="auto"/>
        <w:jc w:val="both"/>
        <w:rPr>
          <w:rFonts w:ascii="Tahoma" w:hAnsi="Tahoma" w:cs="Tahoma"/>
          <w:sz w:val="22"/>
          <w:szCs w:val="22"/>
        </w:rPr>
      </w:pPr>
    </w:p>
    <w:p w:rsidR="00ED6DB8"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Η εκτίμηση της έκθεσης είναι η μέτρηση ή αξιολόγηση της έντασης, της συχνότητας και της διάρκειας της ανθρώπινης έκθεσης σ’ ένα παράγοντα, ο οποίος βρίσκεται στο περιβάλλον</w:t>
      </w:r>
      <w:r w:rsidRPr="007C44FF">
        <w:rPr>
          <w:rStyle w:val="FootnoteReference"/>
          <w:rFonts w:ascii="Tahoma" w:hAnsi="Tahoma" w:cs="Tahoma"/>
          <w:sz w:val="22"/>
          <w:szCs w:val="22"/>
        </w:rPr>
        <w:footnoteReference w:id="35"/>
      </w:r>
      <w:r w:rsidRPr="007C44FF">
        <w:rPr>
          <w:rFonts w:ascii="Tahoma" w:hAnsi="Tahoma" w:cs="Tahoma"/>
          <w:sz w:val="22"/>
          <w:szCs w:val="22"/>
        </w:rPr>
        <w:t>. Διεξάγεται είτε μέσω του πραγματικού ελέγχου του περιβάλλοντος είτε μέσω μαθηματικών μοντέλων προσομοιώσεων, πράγμα που συμβαίνει σχεδόν πάντοτε στην πράξη</w:t>
      </w:r>
      <w:r w:rsidRPr="007C44FF">
        <w:rPr>
          <w:rStyle w:val="FootnoteReference"/>
          <w:rFonts w:ascii="Tahoma" w:hAnsi="Tahoma" w:cs="Tahoma"/>
          <w:sz w:val="22"/>
          <w:szCs w:val="22"/>
        </w:rPr>
        <w:footnoteReference w:id="36"/>
      </w:r>
      <w:r w:rsidRPr="007C44FF">
        <w:rPr>
          <w:rFonts w:ascii="Tahoma" w:hAnsi="Tahoma" w:cs="Tahoma"/>
          <w:sz w:val="22"/>
          <w:szCs w:val="22"/>
        </w:rPr>
        <w:t>. Και στις δύο περιπτώσεις, επειδή λείπουν τα πραγματικά δεδομένα, η εκτίμηση της έκθεσης γίνεται στη βάση a priori παραδοχών, οι οποίες όμως δεν λαμβάνουν υπόψη τις ιδιαιτερότητες του εκτιθέμενου πληθυσμού, όπως είναι οι διαφορές μεταξύ φύλων, μεταξύ ενηλίκων και ανηλίκων, μεταξύ των κοινωνικο-οικονομικών ομάδων κλπ</w:t>
      </w:r>
      <w:r w:rsidRPr="007C44FF">
        <w:rPr>
          <w:rStyle w:val="FootnoteReference"/>
          <w:rFonts w:ascii="Tahoma" w:hAnsi="Tahoma" w:cs="Tahoma"/>
          <w:sz w:val="22"/>
          <w:szCs w:val="22"/>
        </w:rPr>
        <w:footnoteReference w:id="37"/>
      </w:r>
      <w:r w:rsidRPr="007C44FF">
        <w:rPr>
          <w:rFonts w:ascii="Tahoma" w:hAnsi="Tahoma" w:cs="Tahoma"/>
          <w:sz w:val="22"/>
          <w:szCs w:val="22"/>
        </w:rPr>
        <w:t>. Η περιορισμένη λοιπόν αξιοπιστία των ως άνω παραδοχών σε συνδυασμό με το ότι δεν γνωρίζουμε αρκετά σχετικά με τη συμπεριφορά και τον τρόπο μεταφοράς των χημικών ουσιών στο περιβάλλον, η εκτίμηση της έκθεσης παραμένει μια αβέβαιη και αμφιλεγόμενη πηγή πληροφόρησης</w:t>
      </w:r>
      <w:r w:rsidRPr="007C44FF">
        <w:rPr>
          <w:rStyle w:val="FootnoteReference"/>
          <w:rFonts w:ascii="Tahoma" w:hAnsi="Tahoma" w:cs="Tahoma"/>
          <w:sz w:val="22"/>
          <w:szCs w:val="22"/>
        </w:rPr>
        <w:footnoteReference w:id="38"/>
      </w:r>
      <w:r>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Δ. Ο χαρακτηρισμός του κινδύνου </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Το τελευταίο στάδιο της ποσοτικής εκτίμησης του κινδύνου είναι ο χαρακτηρισμός του κινδύνου. Σκοπός του είναι να καταστεί κατανοητή η εν γένει εκτίμηση του κινδύνου στις αρμόδιες αρχές και στα ενδιαφερόμενα μέρη. Πρόκειται για τη διαδικασία αξιολόγησης της εμφάνισης επιπτώσεων στην υγεία κάτω από τις διάφορες συνθήκες της ανθρώπινης έκθεσης, όπως προκύπτει από το συνδυασμό των </w:t>
      </w:r>
      <w:r w:rsidRPr="007C44FF">
        <w:rPr>
          <w:rFonts w:ascii="Tahoma" w:hAnsi="Tahoma" w:cs="Tahoma"/>
          <w:sz w:val="22"/>
          <w:szCs w:val="22"/>
        </w:rPr>
        <w:lastRenderedPageBreak/>
        <w:t>τριών προηγούμενων σταδίων (του εντοπισμού της πηγής του κινδύνου, της εκτίμησης δόσης-απόκρισης και της εκτίμησης της έκθεσης</w:t>
      </w:r>
      <w:r w:rsidRPr="007C44FF">
        <w:rPr>
          <w:rStyle w:val="FootnoteReference"/>
          <w:rFonts w:ascii="Tahoma" w:hAnsi="Tahoma" w:cs="Tahoma"/>
          <w:sz w:val="22"/>
          <w:szCs w:val="22"/>
        </w:rPr>
        <w:footnoteReference w:id="39"/>
      </w:r>
      <w:r w:rsidRPr="007C44FF">
        <w:rPr>
          <w:rFonts w:ascii="Tahoma" w:hAnsi="Tahoma" w:cs="Tahoma"/>
          <w:sz w:val="22"/>
          <w:szCs w:val="22"/>
        </w:rPr>
        <w:t xml:space="preserve">.) Ο χαρακτηρισμός αυτός γίνεται βάσει </w:t>
      </w:r>
      <w:r>
        <w:rPr>
          <w:rFonts w:ascii="Tahoma" w:hAnsi="Tahoma" w:cs="Tahoma"/>
          <w:sz w:val="22"/>
          <w:szCs w:val="22"/>
        </w:rPr>
        <w:t>‘</w:t>
      </w:r>
      <w:r w:rsidRPr="007C44FF">
        <w:rPr>
          <w:rFonts w:ascii="Tahoma" w:hAnsi="Tahoma" w:cs="Tahoma"/>
          <w:sz w:val="22"/>
          <w:szCs w:val="22"/>
        </w:rPr>
        <w:t>‘της πιθανότητας, της συχνότητας και της σοβαρότητας των γνωστών ή δυνητικών δυσμενών περιβαλλοντικών αποτελεσμάτων ή αποτελεσμάτων για την υγεία</w:t>
      </w:r>
      <w:r>
        <w:rPr>
          <w:rFonts w:ascii="Tahoma" w:hAnsi="Tahoma" w:cs="Tahoma"/>
          <w:sz w:val="22"/>
          <w:szCs w:val="22"/>
        </w:rPr>
        <w:t>’</w:t>
      </w:r>
      <w:r w:rsidRPr="007C44FF">
        <w:rPr>
          <w:rFonts w:ascii="Tahoma" w:hAnsi="Tahoma" w:cs="Tahoma"/>
          <w:sz w:val="22"/>
          <w:szCs w:val="22"/>
        </w:rPr>
        <w:t>’, αφού ληφθούν υπόψη οι εγγενείς αβεβαιότητες</w:t>
      </w:r>
      <w:r w:rsidRPr="007C44FF">
        <w:rPr>
          <w:rStyle w:val="FootnoteReference"/>
          <w:rFonts w:ascii="Tahoma" w:hAnsi="Tahoma" w:cs="Tahoma"/>
          <w:sz w:val="22"/>
          <w:szCs w:val="22"/>
        </w:rPr>
        <w:footnoteReference w:id="40"/>
      </w:r>
      <w:r w:rsidRPr="007C44FF">
        <w:rPr>
          <w:rFonts w:ascii="Tahoma" w:hAnsi="Tahoma" w:cs="Tahoma"/>
          <w:sz w:val="22"/>
          <w:szCs w:val="22"/>
        </w:rPr>
        <w:t>. Στο χαρακτηρισμό του κινδύνου πρέπει να περιλαμβάνονται οι παραδοχές ή τα συμπεράσματα τα οποία χρησιμοποιούνται από τους επιστήμονες, ιδιαιτέρως δε, κατά πόσο στηρίζονται σε επιστημονική βάση ή σε άλλους παράγοντες. Επειδή σπανίως υπάρχει ομοφωνία για τις παραδοχές ή τα συμπεράσματα, πρέπει η αρμόδια αρχή να παρουσιάζει το σύνολο των εκφρασμένων απόψεων (τις επιστημονικές και τους άλλους παράγοντες που λαμβάνει υπόψη της) για να είναι αιτιολογημένη η απόφασή της</w:t>
      </w:r>
      <w:r w:rsidRPr="007C44FF">
        <w:rPr>
          <w:rStyle w:val="FootnoteReference"/>
          <w:rFonts w:ascii="Tahoma" w:hAnsi="Tahoma" w:cs="Tahoma"/>
          <w:sz w:val="22"/>
          <w:szCs w:val="22"/>
        </w:rPr>
        <w:footnoteReference w:id="41"/>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Επειδή ο χαρακτηρισμός του κινδύνου απευθύνεται στις αρμόδιες αρχές και στα ενδιαφερόμενα μέρη, προβλέπεται να υπάρχει μια μη τεχνική σύνοψη</w:t>
      </w:r>
      <w:r w:rsidRPr="007C44FF">
        <w:rPr>
          <w:rStyle w:val="FootnoteReference"/>
          <w:rFonts w:ascii="Tahoma" w:hAnsi="Tahoma" w:cs="Tahoma"/>
          <w:sz w:val="22"/>
          <w:szCs w:val="22"/>
        </w:rPr>
        <w:footnoteReference w:id="42"/>
      </w:r>
      <w:r w:rsidRPr="007C44FF">
        <w:rPr>
          <w:rFonts w:ascii="Tahoma" w:hAnsi="Tahoma" w:cs="Tahoma"/>
          <w:sz w:val="22"/>
          <w:szCs w:val="22"/>
        </w:rPr>
        <w:t>. Η σημασία της είναι προφανής διότι οι χρησιμοποιούμενοι στη μελέτη επιστημονικοί και τεχνικοί όροι είναι δυσχερώς κατανοήσιμοι, και κατά συνέπεια η μη τεχνική σύνοψη επιτελεί το ρόλο του τροφοδότη της αναγκαίας εύληπτης πληροφόρησης</w:t>
      </w:r>
      <w:r w:rsidRPr="007C44FF">
        <w:rPr>
          <w:rStyle w:val="FootnoteReference"/>
          <w:rFonts w:ascii="Tahoma" w:hAnsi="Tahoma" w:cs="Tahoma"/>
          <w:sz w:val="22"/>
          <w:szCs w:val="22"/>
        </w:rPr>
        <w:footnoteReference w:id="43"/>
      </w:r>
      <w:r w:rsidRPr="007C44FF">
        <w:rPr>
          <w:rFonts w:ascii="Tahoma" w:hAnsi="Tahoma" w:cs="Tahoma"/>
          <w:sz w:val="22"/>
          <w:szCs w:val="22"/>
        </w:rPr>
        <w:t>. Στη σύνοψη πρέπει να περιλαμβάνονται με όσο το δυνατόν πιο κατανοητούς όρους, τουλάχιστον τα εξής: α) τα βασικά συμπεράσματα για τον εντοπισμό της πηγής του κινδύνου, την εκτίμηση δόσης-απόκρισης και την εκτίμηση της έκθεσης, συμπεριλαμβανομένων των εναλλακτικών προσεγγίσεων. β) Τη φύση της πληροφόρησης στην οποία στηρίζονται τα συμπεράσματα και τις χρησιμοποιούμενες αναλυτικές μεθόδους. γ) Τις αξιολογήσεις του κινδύνου και τις αβεβαιότητες που τις συνοδεύουν, συμπεριλαμβανομένων και των παραδοχών που έχουν γίνει λόγω της έλλειψης ή της αβεβαιότητας των δεδομένων. δ) Την αρμόζουσα σύγκριση με άλλες αναλύσεις κινδύνου ή με κοινούς κινδύνους, στους οποίους οι</w:t>
      </w:r>
      <w:r>
        <w:rPr>
          <w:rFonts w:ascii="Tahoma" w:hAnsi="Tahoma" w:cs="Tahoma"/>
          <w:sz w:val="22"/>
          <w:szCs w:val="22"/>
        </w:rPr>
        <w:t xml:space="preserve"> άνθρωποι είναι </w:t>
      </w:r>
      <w:r>
        <w:rPr>
          <w:rFonts w:ascii="Tahoma" w:hAnsi="Tahoma" w:cs="Tahoma"/>
          <w:sz w:val="22"/>
          <w:szCs w:val="22"/>
        </w:rPr>
        <w:lastRenderedPageBreak/>
        <w:t>εξοικειωμένοι. ε) Τ</w:t>
      </w:r>
      <w:r w:rsidRPr="007C44FF">
        <w:rPr>
          <w:rFonts w:ascii="Tahoma" w:hAnsi="Tahoma" w:cs="Tahoma"/>
          <w:sz w:val="22"/>
          <w:szCs w:val="22"/>
        </w:rPr>
        <w:t>η σύγκριση με άλλες κατάλληλες εκτιμήσεις του ίδιου προβλήματος, που έγιναν από άλλους</w:t>
      </w:r>
      <w:r w:rsidRPr="007C44FF">
        <w:rPr>
          <w:rStyle w:val="FootnoteReference"/>
          <w:rFonts w:ascii="Tahoma" w:hAnsi="Tahoma" w:cs="Tahoma"/>
          <w:sz w:val="22"/>
          <w:szCs w:val="22"/>
        </w:rPr>
        <w:footnoteReference w:id="44"/>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Από την ανάπτυξη που προηγήθηκε προκύπτει ότι η χρησιμοποιούμενη μεθοδολογία για την εκτίμηση του κινδύνου παρουσιάζει σοβαρά μειονεκτήματα, κυρίως σε ό,τι αφορά στην πληροφόρηση. Η τελευταία, όπως ήδη τονίστηκε, δεν είναι επαρκής, επί πλέον δε στηρίζεται σε αμφισβητούμενα συγκριτικά αποτελέσματα που έχουν να κάνουν με το κατά πόσο α) τα συμπεράσματα με βάση την έκθεση σε υψηλές δόσεις ισχύουν και για την έκθεση σε χαμηλές δόσεις, β) τα συμπεράσματα με βάση τις βραχυχρόνιες εκθέσεις ισχύουν και για τις μακροχρόνιες εκθέσεις και γ) τα συμπεράσματα με βάση τα πειράματα στα ζώα ισχύουν και για τους ανθρώπους</w:t>
      </w:r>
      <w:r w:rsidRPr="007C44FF">
        <w:rPr>
          <w:rStyle w:val="FootnoteReference"/>
          <w:rFonts w:ascii="Tahoma" w:hAnsi="Tahoma" w:cs="Tahoma"/>
          <w:sz w:val="22"/>
          <w:szCs w:val="22"/>
        </w:rPr>
        <w:footnoteReference w:id="45"/>
      </w:r>
      <w:r w:rsidRPr="007C44FF">
        <w:rPr>
          <w:rFonts w:ascii="Tahoma" w:hAnsi="Tahoma" w:cs="Tahoma"/>
          <w:sz w:val="22"/>
          <w:szCs w:val="22"/>
        </w:rPr>
        <w:t>. Επίσης αγνοείται η λειτουργία της συνέργιας των πολλαπλών πηγών κινδύνου,  σε κάθε δε περίπτωση αυτή η προσέγγιση, όπως είναι φυσικό, προϋποθέτει τον περιορισμό του κινδύνου σε συγκεκριμένο χρόνο και χώρο, διαφορετικά είναι αδύνατη η αξιολόγηση. Κάτι τέτοιο όμως σπανίως συμβαίνει με τους σύγχρονους περιβαλλοντικούς κινδύνους</w:t>
      </w:r>
      <w:r w:rsidRPr="007C44FF">
        <w:rPr>
          <w:rStyle w:val="FootnoteReference"/>
          <w:rFonts w:ascii="Tahoma" w:hAnsi="Tahoma" w:cs="Tahoma"/>
          <w:sz w:val="22"/>
          <w:szCs w:val="22"/>
        </w:rPr>
        <w:footnoteReference w:id="46"/>
      </w:r>
      <w:r w:rsidRPr="007C44FF">
        <w:rPr>
          <w:rFonts w:ascii="Tahoma" w:hAnsi="Tahoma" w:cs="Tahoma"/>
          <w:sz w:val="22"/>
          <w:szCs w:val="22"/>
        </w:rPr>
        <w:t>. Τα παραπάνω σοβαρά μειονεκτήματα του σταδίου της εκτίμησης του κινδύνου εντείνονται ακόμη περισσότερο από την απουσία της συμμετοχής του κοινού, της οποίας τις συνέπειες θα εξετάσουμε στη συνέχεια.</w:t>
      </w:r>
    </w:p>
    <w:p w:rsidR="00ED6DB8" w:rsidRPr="006654AD"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b/>
          <w:sz w:val="22"/>
          <w:szCs w:val="22"/>
        </w:rPr>
      </w:pPr>
      <w:r w:rsidRPr="007C44FF">
        <w:rPr>
          <w:rFonts w:ascii="Tahoma" w:hAnsi="Tahoma" w:cs="Tahoma"/>
          <w:b/>
          <w:sz w:val="22"/>
          <w:szCs w:val="22"/>
        </w:rPr>
        <w:t xml:space="preserve">2.2.2. Η εκτίμηση του κινδύνου και η αναγκαιότητα για τη συμμετοχή του κοινού </w:t>
      </w:r>
    </w:p>
    <w:p w:rsidR="00ED6DB8" w:rsidRPr="007C44FF" w:rsidRDefault="00ED6DB8" w:rsidP="00ED6DB8">
      <w:pPr>
        <w:spacing w:line="360" w:lineRule="auto"/>
        <w:jc w:val="both"/>
        <w:rPr>
          <w:rFonts w:ascii="Tahoma" w:hAnsi="Tahoma" w:cs="Tahoma"/>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Κατ’ αρχάς πρέπει να επισημάνουμε ότι το πιο κρίσιμο ζήτημα κατά το στάδιο της ανάλυσης του κινδύνου είναι αυτό που συνδέεται  με τις υιοθετούμενες μεθόδους και διαδικασίες, από τις οποίες εξαρτάται η εγκυρότητα και η αξιοπιστία της εκτίμησης του κινδύνου. Η επιλογή, π.χ., των ερωτημάτων που πρέπει να απαντηθούν, οι προτεραιότητες της έρευνας, οι επιστημονικοί κλάδοι που θα ενταχθούν, η διαπίστευση των ειδικών, η στελέχωση των επιτροπών, η ατζέντα που θα συζητηθεί, η ανάπτυξη της έρευνας, η μορφή των υποθέσεων, η επιλογή της μεθοδολογίας, η ερμηνεία των αβεβαιοτήτων, ο καθορισμός των εργαλείων μέτρησης, η προτεραιότητα που δίνεται στα κριτήρια, η δόμηση της απόδειξης- όλα αυτά </w:t>
      </w:r>
      <w:r w:rsidRPr="007C44FF">
        <w:rPr>
          <w:rFonts w:ascii="Tahoma" w:hAnsi="Tahoma" w:cs="Tahoma"/>
          <w:sz w:val="22"/>
          <w:szCs w:val="22"/>
        </w:rPr>
        <w:lastRenderedPageBreak/>
        <w:t>προσφέρουν το έδαφος για υποκειμενικές και αμφισβητούμενες  κρίσεις</w:t>
      </w:r>
      <w:r w:rsidRPr="007C44FF">
        <w:rPr>
          <w:rStyle w:val="FootnoteReference"/>
          <w:rFonts w:ascii="Tahoma" w:hAnsi="Tahoma" w:cs="Tahoma"/>
          <w:sz w:val="22"/>
          <w:szCs w:val="22"/>
        </w:rPr>
        <w:footnoteReference w:id="47"/>
      </w:r>
      <w:r w:rsidRPr="007C44FF">
        <w:rPr>
          <w:rFonts w:ascii="Tahoma" w:hAnsi="Tahoma" w:cs="Tahoma"/>
          <w:sz w:val="22"/>
          <w:szCs w:val="22"/>
        </w:rPr>
        <w:t>. Οι παραπάνω μέθοδοι και διαδικασίες διαμορφώνουν το περιεχόμενο του χαρακτηρισμού του κινδύνου, ο οποίος αποτελεί το πρελούδιο της απόφασης που θα ληφθεί</w:t>
      </w:r>
      <w:r w:rsidRPr="007C44FF">
        <w:rPr>
          <w:rStyle w:val="FootnoteReference"/>
          <w:rFonts w:ascii="Tahoma" w:hAnsi="Tahoma" w:cs="Tahoma"/>
          <w:sz w:val="22"/>
          <w:szCs w:val="22"/>
        </w:rPr>
        <w:footnoteReference w:id="48"/>
      </w:r>
      <w:r w:rsidRPr="007C44FF">
        <w:rPr>
          <w:rFonts w:ascii="Tahoma" w:hAnsi="Tahoma" w:cs="Tahoma"/>
          <w:sz w:val="22"/>
          <w:szCs w:val="22"/>
        </w:rPr>
        <w:t>. Επομένως, επειδή όλες αυτές οι παράμετροι δεν ανήκουν αυστηρά στο πεδίο της επιστήμης</w:t>
      </w:r>
      <w:r w:rsidRPr="007C44FF">
        <w:rPr>
          <w:rStyle w:val="FootnoteReference"/>
          <w:rFonts w:ascii="Tahoma" w:hAnsi="Tahoma" w:cs="Tahoma"/>
          <w:sz w:val="22"/>
          <w:szCs w:val="22"/>
        </w:rPr>
        <w:footnoteReference w:id="49"/>
      </w:r>
      <w:r w:rsidRPr="007C44FF">
        <w:rPr>
          <w:rFonts w:ascii="Tahoma" w:hAnsi="Tahoma" w:cs="Tahoma"/>
          <w:sz w:val="22"/>
          <w:szCs w:val="22"/>
        </w:rPr>
        <w:t>, ο χαρακτηρισμός του κινδύνου δεν έχει αμιγώς επιστημονικές διαστάσεις, αλλά και πολιτικές, οι οποίες υποκρύπτονται πίσω από τους τεχνικούς και επιστημονικούς όρους</w:t>
      </w:r>
      <w:r w:rsidRPr="007C44FF">
        <w:rPr>
          <w:rStyle w:val="FootnoteReference"/>
          <w:rFonts w:ascii="Tahoma" w:hAnsi="Tahoma" w:cs="Tahoma"/>
          <w:sz w:val="22"/>
          <w:szCs w:val="22"/>
        </w:rPr>
        <w:footnoteReference w:id="50"/>
      </w:r>
      <w:r w:rsidRPr="007C44FF">
        <w:rPr>
          <w:rFonts w:ascii="Tahoma" w:hAnsi="Tahoma" w:cs="Tahoma"/>
          <w:sz w:val="22"/>
          <w:szCs w:val="22"/>
        </w:rPr>
        <w:t xml:space="preserve">. Έτσι, η επιλογή του αποδεκτού επιπέδου έκθεσης σε  ένα κίνδυνο (π.χ., τα υιοθετούμενα </w:t>
      </w:r>
      <w:r w:rsidRPr="007C44FF">
        <w:rPr>
          <w:rFonts w:ascii="Tahoma" w:hAnsi="Tahoma" w:cs="Tahoma"/>
          <w:sz w:val="22"/>
          <w:szCs w:val="22"/>
          <w:lang w:val="en-US"/>
        </w:rPr>
        <w:t>standards</w:t>
      </w:r>
      <w:r w:rsidRPr="007C44FF">
        <w:rPr>
          <w:rFonts w:ascii="Tahoma" w:hAnsi="Tahoma" w:cs="Tahoma"/>
          <w:sz w:val="22"/>
          <w:szCs w:val="22"/>
        </w:rPr>
        <w:t xml:space="preserve"> για τις συγκεντρώσεις του όζοντος στη χαμηλή ατμόσφαιρα, του αρσενικού στο πόσιμο νερό, των υπολειμμάτων φυτοφαρμάκων στα τρόφιμα) ή η προτεραιότητα στην επιλογή της ουσίας ή δραστηριότητας, η οποία πρόκειται να ρυθμιστεί (π.χ. αυτές που ενέχουν κίνδυνο είτε καρκίνου που οδηγεί αμέσως στο θάνατο είτε τερατογενέσεων ή αυτές που ενδέχεται είτε να επιφέρουν το θάνατο από άλλες αιτίες εκτός του καρκίνου, είτε να προκαλούν καρκίνο που δεν οδηγεί αμέσως στο θάνατο είτε απλώς να δημιουργούν αναπνευστικά ή άλλα προβλήματα ad infinitum) δεν ανήκουν μόνο στην επιστήμη, αλλά αποτελούν –κυρίως- έκφραση των δημόσιων αξιών οι οποίες επικρατούν στην κοινωνία</w:t>
      </w:r>
      <w:r w:rsidRPr="007C44FF">
        <w:rPr>
          <w:rStyle w:val="FootnoteReference"/>
          <w:rFonts w:ascii="Tahoma" w:hAnsi="Tahoma" w:cs="Tahoma"/>
          <w:sz w:val="22"/>
          <w:szCs w:val="22"/>
        </w:rPr>
        <w:footnoteReference w:id="51"/>
      </w:r>
      <w:r w:rsidRPr="007C44FF">
        <w:rPr>
          <w:rFonts w:ascii="Tahoma" w:hAnsi="Tahoma" w:cs="Tahoma"/>
          <w:sz w:val="22"/>
          <w:szCs w:val="22"/>
        </w:rPr>
        <w:t>. Επομένως, τίθεται το ζήτημα κατά πόσο ο καθορισμός τους μόνο από τους ειδικούς είναι νόμιμος και ορθός.</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Σε ό,τι αφορά στη νομιμότητα, αν ο παραπάνω καθορισμός από τους ειδικούς δεν ανταποκρίνεται στις αξίες της κοινωνίας, όπως αυτές εκφράζονται με την πρόσληψη του κινδύνου από το γενικό πληθυσμό, τότε τα επιλεγόμενα </w:t>
      </w:r>
      <w:r w:rsidRPr="007C44FF">
        <w:rPr>
          <w:rFonts w:ascii="Tahoma" w:hAnsi="Tahoma" w:cs="Tahoma"/>
          <w:sz w:val="22"/>
          <w:szCs w:val="22"/>
          <w:lang w:val="en-US"/>
        </w:rPr>
        <w:t>standards</w:t>
      </w:r>
      <w:r w:rsidRPr="007C44FF">
        <w:rPr>
          <w:rFonts w:ascii="Tahoma" w:hAnsi="Tahoma" w:cs="Tahoma"/>
          <w:sz w:val="22"/>
          <w:szCs w:val="22"/>
        </w:rPr>
        <w:t xml:space="preserve"> ή οι προτεραιότητες αναφορικά με την επιλογή της ουσίας ή της δραστηριότητας για υποβολή σε ρύθμιση στερούνται δημοκρατικής νομιμοποίησης</w:t>
      </w:r>
      <w:r w:rsidRPr="007C44FF">
        <w:rPr>
          <w:rStyle w:val="FootnoteReference"/>
          <w:rFonts w:ascii="Tahoma" w:hAnsi="Tahoma" w:cs="Tahoma"/>
          <w:sz w:val="22"/>
          <w:szCs w:val="22"/>
        </w:rPr>
        <w:footnoteReference w:id="52"/>
      </w:r>
      <w:r w:rsidRPr="007C44FF">
        <w:rPr>
          <w:rFonts w:ascii="Tahoma" w:hAnsi="Tahoma" w:cs="Tahoma"/>
          <w:sz w:val="22"/>
          <w:szCs w:val="22"/>
        </w:rPr>
        <w:t xml:space="preserve">. Σε ό,τι αφορά στην ορθότητα, ο περιορισμός των επιστημόνων στις ποσοτικές διαστάσεις του κινδύνου </w:t>
      </w:r>
      <w:r w:rsidRPr="007C44FF">
        <w:rPr>
          <w:rFonts w:ascii="Tahoma" w:hAnsi="Tahoma" w:cs="Tahoma"/>
          <w:sz w:val="22"/>
          <w:szCs w:val="22"/>
        </w:rPr>
        <w:lastRenderedPageBreak/>
        <w:t>και η μη λήψη υπόψη των ποιοτικών χαρακτηριστικών του, όπως αυτά προκύπτουν από την πρόσληψή του από το κοινό, καθιστά την εκτίμηση του κινδύνου μερική, ανεπαρκή ή ακόμη ακατάλληλη για την αντιμετώπισή του</w:t>
      </w:r>
      <w:r w:rsidRPr="007C44FF">
        <w:rPr>
          <w:rStyle w:val="FootnoteReference"/>
          <w:rFonts w:ascii="Tahoma" w:hAnsi="Tahoma" w:cs="Tahoma"/>
          <w:sz w:val="22"/>
          <w:szCs w:val="22"/>
        </w:rPr>
        <w:footnoteReference w:id="53"/>
      </w:r>
      <w:r w:rsidRPr="007C44FF">
        <w:rPr>
          <w:rFonts w:ascii="Tahoma" w:hAnsi="Tahoma" w:cs="Tahoma"/>
          <w:sz w:val="22"/>
          <w:szCs w:val="22"/>
        </w:rPr>
        <w:t>. Τούτο διότι οι επιπτώσεις, π.χ., ενός κινδύνου για την υγεία διαφόρων ομάδων του πληθυσμού ή η κατανομή του σ’ αυτές, είναι πιο αντιληπτές από το κοινό που τις υφίσταται παρά από τους ειδικούς</w:t>
      </w:r>
      <w:r>
        <w:rPr>
          <w:rStyle w:val="FootnoteReference"/>
          <w:rFonts w:ascii="Tahoma" w:hAnsi="Tahoma" w:cs="Tahoma"/>
          <w:sz w:val="22"/>
          <w:szCs w:val="22"/>
        </w:rPr>
        <w:footnoteReference w:id="54"/>
      </w:r>
      <w:r w:rsidRPr="007C44FF">
        <w:rPr>
          <w:rFonts w:ascii="Tahoma" w:hAnsi="Tahoma" w:cs="Tahoma"/>
          <w:sz w:val="22"/>
          <w:szCs w:val="22"/>
        </w:rPr>
        <w:t>. Ομοίως, οι πολίτες μπορεί να θεωρούν πιο σημαντικούς μερικούς κινδύνους για τους οποίους, αυτοί που τους δημιουργούν δεν επιθυμούν να υποβληθούν σε ρύθμιση</w:t>
      </w:r>
      <w:r w:rsidRPr="007C44FF">
        <w:rPr>
          <w:rStyle w:val="FootnoteReference"/>
          <w:rFonts w:ascii="Tahoma" w:hAnsi="Tahoma" w:cs="Tahoma"/>
          <w:sz w:val="22"/>
          <w:szCs w:val="22"/>
        </w:rPr>
        <w:footnoteReference w:id="55"/>
      </w:r>
      <w:r w:rsidRPr="007C44FF">
        <w:rPr>
          <w:rFonts w:ascii="Tahoma" w:hAnsi="Tahoma" w:cs="Tahoma"/>
          <w:sz w:val="22"/>
          <w:szCs w:val="22"/>
        </w:rPr>
        <w:t>. Για τους λόγους αυτούς, είναι αναγκαία μια διευρυμένη προσέγγιση της εκτίμησης του κινδύνου, στην οποία πρέπει να υπάρξει ισχυρότερη και αποτελεσματικότερη εμπλοκή όλων των ενδιαφερόμενων μερών</w:t>
      </w:r>
      <w:r w:rsidRPr="007C44FF">
        <w:rPr>
          <w:rStyle w:val="FootnoteReference"/>
          <w:rFonts w:ascii="Tahoma" w:hAnsi="Tahoma" w:cs="Tahoma"/>
          <w:sz w:val="22"/>
          <w:szCs w:val="22"/>
        </w:rPr>
        <w:footnoteReference w:id="56"/>
      </w:r>
      <w:r w:rsidRPr="007C44FF">
        <w:rPr>
          <w:rFonts w:ascii="Tahoma" w:hAnsi="Tahoma" w:cs="Tahoma"/>
          <w:sz w:val="22"/>
          <w:szCs w:val="22"/>
        </w:rPr>
        <w:t xml:space="preserve">. Αξίζει να </w:t>
      </w:r>
      <w:r>
        <w:rPr>
          <w:rFonts w:ascii="Tahoma" w:hAnsi="Tahoma" w:cs="Tahoma"/>
          <w:sz w:val="22"/>
          <w:szCs w:val="22"/>
        </w:rPr>
        <w:t>τονίσουμε</w:t>
      </w:r>
      <w:r w:rsidRPr="007C44FF">
        <w:rPr>
          <w:rFonts w:ascii="Tahoma" w:hAnsi="Tahoma" w:cs="Tahoma"/>
          <w:sz w:val="22"/>
          <w:szCs w:val="22"/>
        </w:rPr>
        <w:t xml:space="preserve"> ότι αν και οι τεχνικές για την ανάλυση του κινδύνου αποτέλεσαν αντικείμενο πολλών επεξεργασιών την τελευταία 20ετία, η έρευνα για τη συμμετοχή και τη διαβούλευση ήταν πολύ πιο περιορισμένη</w:t>
      </w:r>
      <w:r w:rsidRPr="007C44FF">
        <w:rPr>
          <w:rStyle w:val="FootnoteReference"/>
          <w:rFonts w:ascii="Tahoma" w:hAnsi="Tahoma" w:cs="Tahoma"/>
          <w:sz w:val="22"/>
          <w:szCs w:val="22"/>
        </w:rPr>
        <w:footnoteReference w:id="57"/>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Ωστόσο, οι συνεχιζόμενες έντονες κριτικές σχετικά με την εγκυρότητα και την αξιοπιστία της ποσοτικής εκτίμησης του κινδύνου, κυρίως σε ό,τι αφορά στον τρόπο κάλυψης των κενών της γνώσης και της επιστημονικής αβεβαιότητας, ο οποίος γίνεται μέσω των </w:t>
      </w:r>
      <w:r>
        <w:rPr>
          <w:rFonts w:ascii="Tahoma" w:hAnsi="Tahoma" w:cs="Tahoma"/>
          <w:sz w:val="22"/>
          <w:szCs w:val="22"/>
        </w:rPr>
        <w:t>‘</w:t>
      </w:r>
      <w:r w:rsidRPr="007C44FF">
        <w:rPr>
          <w:rFonts w:ascii="Tahoma" w:hAnsi="Tahoma" w:cs="Tahoma"/>
          <w:sz w:val="22"/>
          <w:szCs w:val="22"/>
        </w:rPr>
        <w:t>‘επιστημονικά’</w:t>
      </w:r>
      <w:r>
        <w:rPr>
          <w:rFonts w:ascii="Tahoma" w:hAnsi="Tahoma" w:cs="Tahoma"/>
          <w:sz w:val="22"/>
          <w:szCs w:val="22"/>
        </w:rPr>
        <w:t>’</w:t>
      </w:r>
      <w:r w:rsidRPr="007C44FF">
        <w:rPr>
          <w:rFonts w:ascii="Tahoma" w:hAnsi="Tahoma" w:cs="Tahoma"/>
          <w:sz w:val="22"/>
          <w:szCs w:val="22"/>
        </w:rPr>
        <w:t xml:space="preserve"> εκφρασμένων υποκειμενικών αξιολογήσεων των ειδικών, έδωσαν ώθηση στην αναζήτηση μεθόδων συμμετοχής των ενδιαφερομένων μερών στην εν λόγω διαδικασία</w:t>
      </w:r>
      <w:r w:rsidRPr="007C44FF">
        <w:rPr>
          <w:rStyle w:val="FootnoteReference"/>
          <w:rFonts w:ascii="Tahoma" w:hAnsi="Tahoma" w:cs="Tahoma"/>
          <w:sz w:val="22"/>
          <w:szCs w:val="22"/>
        </w:rPr>
        <w:footnoteReference w:id="58"/>
      </w:r>
      <w:r w:rsidRPr="007C44FF">
        <w:rPr>
          <w:rFonts w:ascii="Tahoma" w:hAnsi="Tahoma" w:cs="Tahoma"/>
          <w:sz w:val="22"/>
          <w:szCs w:val="22"/>
        </w:rPr>
        <w:t xml:space="preserve">. Το US </w:t>
      </w:r>
      <w:r w:rsidRPr="007C44FF">
        <w:rPr>
          <w:rFonts w:ascii="Tahoma" w:hAnsi="Tahoma" w:cs="Tahoma"/>
          <w:sz w:val="22"/>
          <w:szCs w:val="22"/>
          <w:lang w:val="en-GB"/>
        </w:rPr>
        <w:t>National</w:t>
      </w:r>
      <w:r w:rsidRPr="007C44FF">
        <w:rPr>
          <w:rFonts w:ascii="Tahoma" w:hAnsi="Tahoma" w:cs="Tahoma"/>
          <w:sz w:val="22"/>
          <w:szCs w:val="22"/>
        </w:rPr>
        <w:t xml:space="preserve"> </w:t>
      </w:r>
      <w:r w:rsidRPr="007C44FF">
        <w:rPr>
          <w:rFonts w:ascii="Tahoma" w:hAnsi="Tahoma" w:cs="Tahoma"/>
          <w:sz w:val="22"/>
          <w:szCs w:val="22"/>
          <w:lang w:val="en-GB"/>
        </w:rPr>
        <w:t>Research</w:t>
      </w:r>
      <w:r w:rsidRPr="007C44FF">
        <w:rPr>
          <w:rFonts w:ascii="Tahoma" w:hAnsi="Tahoma" w:cs="Tahoma"/>
          <w:sz w:val="22"/>
          <w:szCs w:val="22"/>
        </w:rPr>
        <w:t xml:space="preserve"> </w:t>
      </w:r>
      <w:r w:rsidRPr="007C44FF">
        <w:rPr>
          <w:rFonts w:ascii="Tahoma" w:hAnsi="Tahoma" w:cs="Tahoma"/>
          <w:sz w:val="22"/>
          <w:szCs w:val="22"/>
          <w:lang w:val="en-GB"/>
        </w:rPr>
        <w:t>Council</w:t>
      </w:r>
      <w:r w:rsidRPr="007C44FF">
        <w:rPr>
          <w:rFonts w:ascii="Tahoma" w:hAnsi="Tahoma" w:cs="Tahoma"/>
          <w:sz w:val="22"/>
          <w:szCs w:val="22"/>
        </w:rPr>
        <w:t xml:space="preserve"> κωδικοποίησε τις </w:t>
      </w:r>
      <w:r w:rsidRPr="007C44FF">
        <w:rPr>
          <w:rFonts w:ascii="Tahoma" w:hAnsi="Tahoma" w:cs="Tahoma"/>
          <w:sz w:val="22"/>
          <w:szCs w:val="22"/>
        </w:rPr>
        <w:lastRenderedPageBreak/>
        <w:t>παραπάνω μεθόδους, χωρίς όμως αυτές να αποτελέσουν μέχρι τώρα αντικείμενο νομοθετικών ρυθμίσεων</w:t>
      </w:r>
      <w:r w:rsidRPr="007C44FF">
        <w:rPr>
          <w:rStyle w:val="FootnoteReference"/>
          <w:rFonts w:ascii="Tahoma" w:hAnsi="Tahoma" w:cs="Tahoma"/>
          <w:sz w:val="22"/>
          <w:szCs w:val="22"/>
        </w:rPr>
        <w:footnoteReference w:id="59"/>
      </w:r>
      <w:r w:rsidRPr="007C44FF">
        <w:rPr>
          <w:rFonts w:ascii="Tahoma" w:hAnsi="Tahoma" w:cs="Tahoma"/>
          <w:sz w:val="22"/>
          <w:szCs w:val="22"/>
        </w:rPr>
        <w:t xml:space="preserve">. </w:t>
      </w:r>
      <w:r>
        <w:rPr>
          <w:rFonts w:ascii="Tahoma" w:hAnsi="Tahoma" w:cs="Tahoma"/>
          <w:sz w:val="22"/>
          <w:szCs w:val="22"/>
        </w:rPr>
        <w:t>Στα πορίσματά του</w:t>
      </w:r>
      <w:r w:rsidRPr="007C44FF">
        <w:rPr>
          <w:rFonts w:ascii="Tahoma" w:hAnsi="Tahoma" w:cs="Tahoma"/>
          <w:sz w:val="22"/>
          <w:szCs w:val="22"/>
        </w:rPr>
        <w:t xml:space="preserve"> συμπεριλαμβάνονται οι βασικές κατευθύνσεις των προτεινόμενων μεταρρυθμίσεων, που είναι οι εξής: α) η συμμετοχή των ενδιαφερόμενων και όσων, γενικά, επηρεάζονται από τις επικείμενες ρυθμίσεις, πρέπει να λαμβάνει χώρα σε όλα τα στάδια της εκτίμησης του κινδύνου. β) Ο όρος </w:t>
      </w:r>
      <w:r w:rsidRPr="00A41BE4">
        <w:rPr>
          <w:rFonts w:ascii="Tahoma" w:hAnsi="Tahoma" w:cs="Tahoma"/>
          <w:sz w:val="22"/>
          <w:szCs w:val="22"/>
        </w:rPr>
        <w:t>‘</w:t>
      </w:r>
      <w:r w:rsidRPr="007C44FF">
        <w:rPr>
          <w:rFonts w:ascii="Tahoma" w:hAnsi="Tahoma" w:cs="Tahoma"/>
          <w:sz w:val="22"/>
          <w:szCs w:val="22"/>
        </w:rPr>
        <w:t>‘ενδιαφερόμενα μέρη και όσοι επηρεάζονται από τη ρύθμιση’</w:t>
      </w:r>
      <w:r w:rsidRPr="00A41BE4">
        <w:rPr>
          <w:rFonts w:ascii="Tahoma" w:hAnsi="Tahoma" w:cs="Tahoma"/>
          <w:sz w:val="22"/>
          <w:szCs w:val="22"/>
        </w:rPr>
        <w:t>’</w:t>
      </w:r>
      <w:r w:rsidRPr="007C44FF">
        <w:rPr>
          <w:rFonts w:ascii="Tahoma" w:hAnsi="Tahoma" w:cs="Tahoma"/>
          <w:sz w:val="22"/>
          <w:szCs w:val="22"/>
        </w:rPr>
        <w:t xml:space="preserve"> πρέπει να είναι ευρύς και να περιλαμβάνει όλους όσους τους απασχολούν τα ζητήματα που συνδέονται με τις φυσικές, κοινωνικές, οικονομικές, οικολογικές και ηθικές επιπτώσεις του υπό ρύθμιση κινδύνου. γ) Τα ενδιαφερόμενα μέρη πρέπει να εκπροσωπούνται από μέλη τους, και αν το επιθυμούν από επιστήμονες ή από νομικούς. Η άμεση συμμετοχή των ενδιαφερόμενων μερών είναι αναγκαία όταν η τοπική γνώση δεν μπορεί να μετακενωθεί με άλλον τρόπο. δ) Είναι αναγκαίο</w:t>
      </w:r>
      <w:r>
        <w:rPr>
          <w:rFonts w:ascii="Tahoma" w:hAnsi="Tahoma" w:cs="Tahoma"/>
          <w:sz w:val="22"/>
          <w:szCs w:val="22"/>
        </w:rPr>
        <w:t>,</w:t>
      </w:r>
      <w:r w:rsidRPr="007C44FF">
        <w:rPr>
          <w:rFonts w:ascii="Tahoma" w:hAnsi="Tahoma" w:cs="Tahoma"/>
          <w:sz w:val="22"/>
          <w:szCs w:val="22"/>
        </w:rPr>
        <w:t xml:space="preserve"> η συμμετοχή ν</w:t>
      </w:r>
      <w:r>
        <w:rPr>
          <w:rFonts w:ascii="Tahoma" w:hAnsi="Tahoma" w:cs="Tahoma"/>
          <w:sz w:val="22"/>
          <w:szCs w:val="22"/>
        </w:rPr>
        <w:t>α αρχίζει στο πιο πρώιμο στάδιο</w:t>
      </w:r>
      <w:r w:rsidRPr="007C44FF">
        <w:rPr>
          <w:rFonts w:ascii="Tahoma" w:hAnsi="Tahoma" w:cs="Tahoma"/>
          <w:sz w:val="22"/>
          <w:szCs w:val="22"/>
        </w:rPr>
        <w:t xml:space="preserve"> όταν διαμορφώνονται τα ερωτήματα τα οποία πρέπει να απαντηθούν, διότι οι όροι του προβλήματος καθορίζουν τον τρόπο κατανόησης των κινδύνων</w:t>
      </w:r>
      <w:r w:rsidRPr="007C44FF">
        <w:rPr>
          <w:rStyle w:val="FootnoteReference"/>
          <w:rFonts w:ascii="Tahoma" w:hAnsi="Tahoma" w:cs="Tahoma"/>
          <w:sz w:val="22"/>
          <w:szCs w:val="22"/>
        </w:rPr>
        <w:footnoteReference w:id="60"/>
      </w:r>
      <w:r w:rsidRPr="007C44FF">
        <w:rPr>
          <w:rFonts w:ascii="Tahoma" w:hAnsi="Tahoma" w:cs="Tahoma"/>
          <w:sz w:val="22"/>
          <w:szCs w:val="22"/>
        </w:rPr>
        <w:t>.</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Οι περιορισμοί στη γνώση και η αμείωτη παρουσία επιστημονικών αβεβαιοτήτων κατά το στάδιο της εκτίμησης του κινδύνου</w:t>
      </w:r>
      <w:r w:rsidRPr="007C44FF">
        <w:rPr>
          <w:rStyle w:val="FootnoteReference"/>
          <w:rFonts w:ascii="Tahoma" w:hAnsi="Tahoma" w:cs="Tahoma"/>
          <w:sz w:val="22"/>
          <w:szCs w:val="22"/>
        </w:rPr>
        <w:footnoteReference w:id="61"/>
      </w:r>
      <w:r w:rsidRPr="007C44FF">
        <w:rPr>
          <w:rFonts w:ascii="Tahoma" w:hAnsi="Tahoma" w:cs="Tahoma"/>
          <w:sz w:val="22"/>
          <w:szCs w:val="22"/>
        </w:rPr>
        <w:t>, όπως επίσης η μεταμφίεση των πολιτικών ζητημάτων σε γριφώδεις τεχνικές λεπτομέρειες προκάλεσαν έντονες αντιπαραθέσεις και αμφισβητήσεις στο χώρο του περιβαλλοντικού δικαίου</w:t>
      </w:r>
      <w:r w:rsidRPr="007C44FF">
        <w:rPr>
          <w:rStyle w:val="FootnoteReference"/>
          <w:rFonts w:ascii="Tahoma" w:hAnsi="Tahoma" w:cs="Tahoma"/>
          <w:sz w:val="22"/>
          <w:szCs w:val="22"/>
        </w:rPr>
        <w:footnoteReference w:id="62"/>
      </w:r>
      <w:r w:rsidRPr="007C44FF">
        <w:rPr>
          <w:rFonts w:ascii="Tahoma" w:hAnsi="Tahoma" w:cs="Tahoma"/>
          <w:sz w:val="22"/>
          <w:szCs w:val="22"/>
        </w:rPr>
        <w:t>. Συγκεκριμένα, από τη μια πλευρά υποστηρίζεται ότι παρά τις επί μέρους ελλείψεις και αδυναμίες της μεθόδου της ποσοτικής εκτίμησης του κινδύνου, αυτή παραμένει ένα αναντικατάστατο εργαλείο άσκησης της περιβαλλοντικής πολιτικής</w:t>
      </w:r>
      <w:r w:rsidRPr="007C44FF">
        <w:rPr>
          <w:rStyle w:val="FootnoteReference"/>
          <w:rFonts w:ascii="Tahoma" w:hAnsi="Tahoma" w:cs="Tahoma"/>
          <w:sz w:val="22"/>
          <w:szCs w:val="22"/>
        </w:rPr>
        <w:footnoteReference w:id="63"/>
      </w:r>
      <w:r w:rsidRPr="007C44FF">
        <w:rPr>
          <w:rFonts w:ascii="Tahoma" w:hAnsi="Tahoma" w:cs="Tahoma"/>
          <w:sz w:val="22"/>
          <w:szCs w:val="22"/>
        </w:rPr>
        <w:t xml:space="preserve">. Από την άλλη πλευρά υποστηρίζεται ότι, εξ αιτίας του εύρους των ελλείψεων στη γνώση και των επιστημονικών αβεβαιοτήτων, δεν μπορεί </w:t>
      </w:r>
      <w:r w:rsidRPr="007C44FF">
        <w:rPr>
          <w:rFonts w:ascii="Tahoma" w:hAnsi="Tahoma" w:cs="Tahoma"/>
          <w:sz w:val="22"/>
          <w:szCs w:val="22"/>
        </w:rPr>
        <w:lastRenderedPageBreak/>
        <w:t>να αποτελέσει έγκυρο και αξιόπιστο εργαλείο για την αντιμετώπιση των περιβαλλοντικών κινδύνων</w:t>
      </w:r>
      <w:r w:rsidRPr="007C44FF">
        <w:rPr>
          <w:rStyle w:val="FootnoteReference"/>
          <w:rFonts w:ascii="Tahoma" w:hAnsi="Tahoma" w:cs="Tahoma"/>
          <w:sz w:val="22"/>
          <w:szCs w:val="22"/>
        </w:rPr>
        <w:footnoteReference w:id="64"/>
      </w:r>
      <w:r w:rsidRPr="007C44FF">
        <w:rPr>
          <w:rFonts w:ascii="Tahoma" w:hAnsi="Tahoma" w:cs="Tahoma"/>
          <w:sz w:val="22"/>
          <w:szCs w:val="22"/>
        </w:rPr>
        <w:t>. Όπως είναι προφανές, η υιοθέτηση της μιας ή της άλλης άποψης είναι απόρροια του τρόπου με τον οποίο προσεγγίζεται η επιστημονική γνώση. Ειδικότερα, η πρώτη άποψη θεωρεί ότι είναι αναγκαίος ο διαχωρισμός των σταδίων της εκτίμησης κ</w:t>
      </w:r>
      <w:r>
        <w:rPr>
          <w:rFonts w:ascii="Tahoma" w:hAnsi="Tahoma" w:cs="Tahoma"/>
          <w:sz w:val="22"/>
          <w:szCs w:val="22"/>
        </w:rPr>
        <w:t>αι της διαχείρισης του κινδύνου.</w:t>
      </w:r>
      <w:r w:rsidRPr="007C44FF">
        <w:rPr>
          <w:rFonts w:ascii="Tahoma" w:hAnsi="Tahoma" w:cs="Tahoma"/>
          <w:sz w:val="22"/>
          <w:szCs w:val="22"/>
        </w:rPr>
        <w:t xml:space="preserve"> </w:t>
      </w:r>
      <w:r>
        <w:rPr>
          <w:rFonts w:ascii="Tahoma" w:hAnsi="Tahoma" w:cs="Tahoma"/>
          <w:sz w:val="22"/>
          <w:szCs w:val="22"/>
        </w:rPr>
        <w:t>Στηρίζεται</w:t>
      </w:r>
      <w:r w:rsidRPr="007C44FF">
        <w:rPr>
          <w:rFonts w:ascii="Tahoma" w:hAnsi="Tahoma" w:cs="Tahoma"/>
          <w:sz w:val="22"/>
          <w:szCs w:val="22"/>
        </w:rPr>
        <w:t xml:space="preserve"> στο επιχείρημα ότι στο πρώτο στάδιο παράγεται η απαραίτητη αντικειμενική επιστημονική γνώση, στο δε δεύτερο στάδιο λαμβάνεται η απόφαση με βάση την παρασχεθείσα επιστημονική γνώση και σε συνάρτηση με οικονομικά και κοινωνικά δεδομένα</w:t>
      </w:r>
      <w:r w:rsidRPr="007C44FF">
        <w:rPr>
          <w:rStyle w:val="FootnoteReference"/>
          <w:rFonts w:ascii="Tahoma" w:hAnsi="Tahoma" w:cs="Tahoma"/>
          <w:sz w:val="22"/>
          <w:szCs w:val="22"/>
        </w:rPr>
        <w:footnoteReference w:id="65"/>
      </w:r>
      <w:r w:rsidRPr="007C44FF">
        <w:rPr>
          <w:rFonts w:ascii="Tahoma" w:hAnsi="Tahoma" w:cs="Tahoma"/>
          <w:sz w:val="22"/>
          <w:szCs w:val="22"/>
        </w:rPr>
        <w:t>. Η δεύτερη άποψη θεωρεί ότι, επειδή πολιτικοί, κοινωνικοί, ηθικοί και οικονομικοί παράγοντες προσδιορίζουν  τη συνολική ανάλυση του κινδύνου και όχι μόνο το στάδιο της διαχείρισης του κινδύνου, ο διαχωρισμός των ως άνω σταδίων δεν ανταποκρίνεται στην πραγματικότητα</w:t>
      </w:r>
      <w:r w:rsidRPr="007C44FF">
        <w:rPr>
          <w:rStyle w:val="FootnoteReference"/>
          <w:rFonts w:ascii="Tahoma" w:hAnsi="Tahoma" w:cs="Tahoma"/>
          <w:sz w:val="22"/>
          <w:szCs w:val="22"/>
        </w:rPr>
        <w:footnoteReference w:id="66"/>
      </w:r>
      <w:r w:rsidRPr="007C44FF">
        <w:rPr>
          <w:rFonts w:ascii="Tahoma" w:hAnsi="Tahoma" w:cs="Tahoma"/>
          <w:sz w:val="22"/>
          <w:szCs w:val="22"/>
        </w:rPr>
        <w:t>. Επί πλέον δε ο διαχωρισμός είναι αποπροσανατολιστικός διότι, οι αξιακές παραδοχές στις οποίες προβαίνουν οι ειδικοί για την κάλυψη των κενών της γνώσης και την απόκρυψη των αβεβαιοτήτων</w:t>
      </w:r>
      <w:r>
        <w:rPr>
          <w:rFonts w:ascii="Tahoma" w:hAnsi="Tahoma" w:cs="Tahoma"/>
          <w:sz w:val="22"/>
          <w:szCs w:val="22"/>
        </w:rPr>
        <w:t>,</w:t>
      </w:r>
      <w:r w:rsidRPr="007C44FF">
        <w:rPr>
          <w:rFonts w:ascii="Tahoma" w:hAnsi="Tahoma" w:cs="Tahoma"/>
          <w:sz w:val="22"/>
          <w:szCs w:val="22"/>
        </w:rPr>
        <w:t xml:space="preserve"> δημιουργούν την ψευδή εικόνα της </w:t>
      </w:r>
      <w:r>
        <w:rPr>
          <w:rFonts w:ascii="Tahoma" w:hAnsi="Tahoma" w:cs="Tahoma"/>
          <w:sz w:val="22"/>
          <w:szCs w:val="22"/>
        </w:rPr>
        <w:t>‘</w:t>
      </w:r>
      <w:r w:rsidRPr="007C44FF">
        <w:rPr>
          <w:rFonts w:ascii="Tahoma" w:hAnsi="Tahoma" w:cs="Tahoma"/>
          <w:sz w:val="22"/>
          <w:szCs w:val="22"/>
        </w:rPr>
        <w:t>‘αντικειμενικής</w:t>
      </w:r>
      <w:r>
        <w:rPr>
          <w:rFonts w:ascii="Tahoma" w:hAnsi="Tahoma" w:cs="Tahoma"/>
          <w:sz w:val="22"/>
          <w:szCs w:val="22"/>
        </w:rPr>
        <w:t>’</w:t>
      </w:r>
      <w:r w:rsidRPr="007C44FF">
        <w:rPr>
          <w:rFonts w:ascii="Tahoma" w:hAnsi="Tahoma" w:cs="Tahoma"/>
          <w:sz w:val="22"/>
          <w:szCs w:val="22"/>
        </w:rPr>
        <w:t>’ γνώσης με αποτέλεσμα οι αρμόδιες αρχές να αγνοούν τα πραγματικά δεδομένα</w:t>
      </w:r>
      <w:r w:rsidRPr="007C44FF">
        <w:rPr>
          <w:rStyle w:val="FootnoteReference"/>
          <w:rFonts w:ascii="Tahoma" w:hAnsi="Tahoma" w:cs="Tahoma"/>
          <w:sz w:val="22"/>
          <w:szCs w:val="22"/>
        </w:rPr>
        <w:footnoteReference w:id="67"/>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Το πρόβλημα σχετικά με το διαχωρισμό των σταδίων της εκτίμησης και της διαχείρισης του κινδύνου αναγνωρίζεται</w:t>
      </w:r>
      <w:r>
        <w:rPr>
          <w:rFonts w:ascii="Tahoma" w:hAnsi="Tahoma" w:cs="Tahoma"/>
          <w:sz w:val="22"/>
          <w:szCs w:val="22"/>
        </w:rPr>
        <w:t xml:space="preserve"> και</w:t>
      </w:r>
      <w:r w:rsidRPr="007C44FF">
        <w:rPr>
          <w:rFonts w:ascii="Tahoma" w:hAnsi="Tahoma" w:cs="Tahoma"/>
          <w:sz w:val="22"/>
          <w:szCs w:val="22"/>
        </w:rPr>
        <w:t xml:space="preserve"> από το US </w:t>
      </w:r>
      <w:r w:rsidRPr="007C44FF">
        <w:rPr>
          <w:rFonts w:ascii="Tahoma" w:hAnsi="Tahoma" w:cs="Tahoma"/>
          <w:sz w:val="22"/>
          <w:szCs w:val="22"/>
          <w:lang w:val="en-GB"/>
        </w:rPr>
        <w:t>National</w:t>
      </w:r>
      <w:r w:rsidRPr="007C44FF">
        <w:rPr>
          <w:rFonts w:ascii="Tahoma" w:hAnsi="Tahoma" w:cs="Tahoma"/>
          <w:sz w:val="22"/>
          <w:szCs w:val="22"/>
        </w:rPr>
        <w:t xml:space="preserve"> </w:t>
      </w:r>
      <w:r w:rsidRPr="007C44FF">
        <w:rPr>
          <w:rFonts w:ascii="Tahoma" w:hAnsi="Tahoma" w:cs="Tahoma"/>
          <w:sz w:val="22"/>
          <w:szCs w:val="22"/>
          <w:lang w:val="en-GB"/>
        </w:rPr>
        <w:t>Research</w:t>
      </w:r>
      <w:r w:rsidRPr="007C44FF">
        <w:rPr>
          <w:rFonts w:ascii="Tahoma" w:hAnsi="Tahoma" w:cs="Tahoma"/>
          <w:sz w:val="22"/>
          <w:szCs w:val="22"/>
        </w:rPr>
        <w:t xml:space="preserve"> </w:t>
      </w:r>
      <w:r w:rsidRPr="007C44FF">
        <w:rPr>
          <w:rFonts w:ascii="Tahoma" w:hAnsi="Tahoma" w:cs="Tahoma"/>
          <w:sz w:val="22"/>
          <w:szCs w:val="22"/>
          <w:lang w:val="en-GB"/>
        </w:rPr>
        <w:t>Council</w:t>
      </w:r>
      <w:r w:rsidRPr="007C44FF">
        <w:rPr>
          <w:rFonts w:ascii="Tahoma" w:hAnsi="Tahoma" w:cs="Tahoma"/>
          <w:sz w:val="22"/>
          <w:szCs w:val="22"/>
        </w:rPr>
        <w:t>, το οποίο υπογραμμίζει ότι οι σχέσεις μεταξύ των επιστημονικών εκτιμήσεων και των πολιτικών ζητημάτων που συνδέονται με αυτές, είναι πολύ στενές</w:t>
      </w:r>
      <w:r w:rsidRPr="007C44FF">
        <w:rPr>
          <w:rStyle w:val="FootnoteReference"/>
          <w:rFonts w:ascii="Tahoma" w:hAnsi="Tahoma" w:cs="Tahoma"/>
          <w:sz w:val="22"/>
          <w:szCs w:val="22"/>
        </w:rPr>
        <w:footnoteReference w:id="68"/>
      </w:r>
      <w:r w:rsidRPr="007C44FF">
        <w:rPr>
          <w:rFonts w:ascii="Tahoma" w:hAnsi="Tahoma" w:cs="Tahoma"/>
          <w:sz w:val="22"/>
          <w:szCs w:val="22"/>
        </w:rPr>
        <w:t xml:space="preserve">. Γι’ αυτόν ακριβώς το λόγο, προκρίνει την έννοια του </w:t>
      </w:r>
      <w:r>
        <w:rPr>
          <w:rFonts w:ascii="Tahoma" w:hAnsi="Tahoma" w:cs="Tahoma"/>
          <w:sz w:val="22"/>
          <w:szCs w:val="22"/>
        </w:rPr>
        <w:t>‘</w:t>
      </w:r>
      <w:r w:rsidRPr="007C44FF">
        <w:rPr>
          <w:rFonts w:ascii="Tahoma" w:hAnsi="Tahoma" w:cs="Tahoma"/>
          <w:sz w:val="22"/>
          <w:szCs w:val="22"/>
        </w:rPr>
        <w:t>‘χαρακτηρισμού του κινδύνου’</w:t>
      </w:r>
      <w:r>
        <w:rPr>
          <w:rFonts w:ascii="Tahoma" w:hAnsi="Tahoma" w:cs="Tahoma"/>
          <w:sz w:val="22"/>
          <w:szCs w:val="22"/>
        </w:rPr>
        <w:t>’</w:t>
      </w:r>
      <w:r w:rsidRPr="007C44FF">
        <w:rPr>
          <w:rFonts w:ascii="Tahoma" w:hAnsi="Tahoma" w:cs="Tahoma"/>
          <w:sz w:val="22"/>
          <w:szCs w:val="22"/>
        </w:rPr>
        <w:t xml:space="preserve"> ως του ενοποιητικού πεδίου της επιστημονικής αξιολόγησης και των πολιτικών επιλογών</w:t>
      </w:r>
      <w:r w:rsidRPr="007C44FF">
        <w:rPr>
          <w:rStyle w:val="FootnoteReference"/>
          <w:rFonts w:ascii="Tahoma" w:hAnsi="Tahoma" w:cs="Tahoma"/>
          <w:sz w:val="22"/>
          <w:szCs w:val="22"/>
        </w:rPr>
        <w:footnoteReference w:id="69"/>
      </w:r>
      <w:r w:rsidRPr="007C44FF">
        <w:rPr>
          <w:rFonts w:ascii="Tahoma" w:hAnsi="Tahoma" w:cs="Tahoma"/>
          <w:sz w:val="22"/>
          <w:szCs w:val="22"/>
        </w:rPr>
        <w:t xml:space="preserve">. </w:t>
      </w:r>
      <w:r w:rsidRPr="007C44FF">
        <w:rPr>
          <w:rFonts w:ascii="Tahoma" w:hAnsi="Tahoma" w:cs="Tahoma"/>
          <w:sz w:val="22"/>
          <w:szCs w:val="22"/>
        </w:rPr>
        <w:lastRenderedPageBreak/>
        <w:t>Ομοίως, η</w:t>
      </w:r>
      <w:r>
        <w:rPr>
          <w:rFonts w:ascii="Tahoma" w:hAnsi="Tahoma" w:cs="Tahoma"/>
          <w:sz w:val="22"/>
          <w:szCs w:val="22"/>
        </w:rPr>
        <w:t xml:space="preserve"> συμβουλευτική Αρχή</w:t>
      </w:r>
      <w:r w:rsidRPr="007C44FF">
        <w:rPr>
          <w:rFonts w:ascii="Tahoma" w:hAnsi="Tahoma" w:cs="Tahoma"/>
          <w:sz w:val="22"/>
          <w:szCs w:val="22"/>
        </w:rPr>
        <w:t xml:space="preserve"> </w:t>
      </w:r>
      <w:r w:rsidRPr="007C44FF">
        <w:rPr>
          <w:rFonts w:ascii="Tahoma" w:hAnsi="Tahoma" w:cs="Tahoma"/>
          <w:sz w:val="22"/>
          <w:szCs w:val="22"/>
          <w:lang w:val="en-US"/>
        </w:rPr>
        <w:t>Presidential</w:t>
      </w:r>
      <w:r w:rsidRPr="007C44FF">
        <w:rPr>
          <w:rFonts w:ascii="Tahoma" w:hAnsi="Tahoma" w:cs="Tahoma"/>
          <w:sz w:val="22"/>
          <w:szCs w:val="22"/>
        </w:rPr>
        <w:t>/</w:t>
      </w:r>
      <w:r w:rsidRPr="007C44FF">
        <w:rPr>
          <w:rFonts w:ascii="Tahoma" w:hAnsi="Tahoma" w:cs="Tahoma"/>
          <w:sz w:val="22"/>
          <w:szCs w:val="22"/>
          <w:lang w:val="en-US"/>
        </w:rPr>
        <w:t>Congressional</w:t>
      </w:r>
      <w:r w:rsidRPr="007C44FF">
        <w:rPr>
          <w:rFonts w:ascii="Tahoma" w:hAnsi="Tahoma" w:cs="Tahoma"/>
          <w:sz w:val="22"/>
          <w:szCs w:val="22"/>
        </w:rPr>
        <w:t xml:space="preserve"> </w:t>
      </w:r>
      <w:r w:rsidRPr="007C44FF">
        <w:rPr>
          <w:rFonts w:ascii="Tahoma" w:hAnsi="Tahoma" w:cs="Tahoma"/>
          <w:sz w:val="22"/>
          <w:szCs w:val="22"/>
          <w:lang w:val="en-US"/>
        </w:rPr>
        <w:t>Commission</w:t>
      </w:r>
      <w:r w:rsidRPr="007C44FF">
        <w:rPr>
          <w:rFonts w:ascii="Tahoma" w:hAnsi="Tahoma" w:cs="Tahoma"/>
          <w:sz w:val="22"/>
          <w:szCs w:val="22"/>
        </w:rPr>
        <w:t xml:space="preserve"> </w:t>
      </w:r>
      <w:r w:rsidRPr="007C44FF">
        <w:rPr>
          <w:rFonts w:ascii="Tahoma" w:hAnsi="Tahoma" w:cs="Tahoma"/>
          <w:sz w:val="22"/>
          <w:szCs w:val="22"/>
          <w:lang w:val="en-US"/>
        </w:rPr>
        <w:t>on</w:t>
      </w:r>
      <w:r w:rsidRPr="007C44FF">
        <w:rPr>
          <w:rFonts w:ascii="Tahoma" w:hAnsi="Tahoma" w:cs="Tahoma"/>
          <w:sz w:val="22"/>
          <w:szCs w:val="22"/>
        </w:rPr>
        <w:t xml:space="preserve"> </w:t>
      </w:r>
      <w:r w:rsidRPr="007C44FF">
        <w:rPr>
          <w:rFonts w:ascii="Tahoma" w:hAnsi="Tahoma" w:cs="Tahoma"/>
          <w:sz w:val="22"/>
          <w:szCs w:val="22"/>
          <w:lang w:val="en-US"/>
        </w:rPr>
        <w:t>Risk</w:t>
      </w:r>
      <w:r w:rsidRPr="007C44FF">
        <w:rPr>
          <w:rFonts w:ascii="Tahoma" w:hAnsi="Tahoma" w:cs="Tahoma"/>
          <w:sz w:val="22"/>
          <w:szCs w:val="22"/>
        </w:rPr>
        <w:t xml:space="preserve"> </w:t>
      </w:r>
      <w:r w:rsidRPr="007C44FF">
        <w:rPr>
          <w:rFonts w:ascii="Tahoma" w:hAnsi="Tahoma" w:cs="Tahoma"/>
          <w:sz w:val="22"/>
          <w:szCs w:val="22"/>
          <w:lang w:val="en-US"/>
        </w:rPr>
        <w:t>Assessment</w:t>
      </w:r>
      <w:r w:rsidRPr="007C44FF">
        <w:rPr>
          <w:rFonts w:ascii="Tahoma" w:hAnsi="Tahoma" w:cs="Tahoma"/>
          <w:sz w:val="22"/>
          <w:szCs w:val="22"/>
        </w:rPr>
        <w:t xml:space="preserve"> θεωρεί ότι ο παραπάνω διαχωρισμός δεν συμβάλλει στην ουσιαστική αντιμετώπιση των περιβαλλοντικών κινδύνων</w:t>
      </w:r>
      <w:r w:rsidRPr="007C44FF">
        <w:rPr>
          <w:rStyle w:val="FootnoteReference"/>
          <w:rFonts w:ascii="Tahoma" w:hAnsi="Tahoma" w:cs="Tahoma"/>
          <w:sz w:val="22"/>
          <w:szCs w:val="22"/>
        </w:rPr>
        <w:footnoteReference w:id="70"/>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p>
    <w:p w:rsidR="00ED6DB8" w:rsidRPr="007D1149" w:rsidRDefault="00ED6DB8" w:rsidP="00ED6DB8">
      <w:pPr>
        <w:spacing w:line="360" w:lineRule="auto"/>
        <w:jc w:val="both"/>
        <w:rPr>
          <w:rFonts w:ascii="Tahoma" w:hAnsi="Tahoma" w:cs="Tahoma"/>
          <w:b/>
        </w:rPr>
      </w:pPr>
      <w:r w:rsidRPr="007D1149">
        <w:rPr>
          <w:rFonts w:ascii="Tahoma" w:hAnsi="Tahoma" w:cs="Tahoma"/>
          <w:b/>
        </w:rPr>
        <w:t xml:space="preserve">2.3. Η διαχείριση του κινδύνου: Πόσο ασφαλές είναι αρκετά ασφαλές; </w:t>
      </w:r>
    </w:p>
    <w:p w:rsidR="00ED6DB8" w:rsidRPr="007C44FF" w:rsidRDefault="00ED6DB8" w:rsidP="00ED6DB8">
      <w:pPr>
        <w:spacing w:line="360" w:lineRule="auto"/>
        <w:jc w:val="both"/>
        <w:rPr>
          <w:rFonts w:ascii="Tahoma" w:hAnsi="Tahoma" w:cs="Tahoma"/>
          <w:b/>
          <w:sz w:val="22"/>
          <w:szCs w:val="22"/>
        </w:rPr>
      </w:pPr>
    </w:p>
    <w:p w:rsidR="00ED6DB8" w:rsidRPr="00ED6DB8" w:rsidRDefault="00ED6DB8" w:rsidP="00ED6DB8">
      <w:pPr>
        <w:spacing w:line="360" w:lineRule="auto"/>
        <w:jc w:val="both"/>
        <w:rPr>
          <w:rFonts w:ascii="Tahoma" w:hAnsi="Tahoma" w:cs="Tahoma"/>
          <w:b/>
          <w:sz w:val="22"/>
          <w:szCs w:val="22"/>
        </w:rPr>
      </w:pPr>
      <w:r w:rsidRPr="007C44FF">
        <w:rPr>
          <w:rFonts w:ascii="Tahoma" w:hAnsi="Tahoma" w:cs="Tahoma"/>
          <w:b/>
          <w:sz w:val="22"/>
          <w:szCs w:val="22"/>
        </w:rPr>
        <w:t>2.3.1. Η διαχείριση του κινδύνου στην Ε.Ε.</w:t>
      </w:r>
    </w:p>
    <w:p w:rsidR="00ED6DB8" w:rsidRPr="00ED6DB8" w:rsidRDefault="00ED6DB8" w:rsidP="00ED6DB8">
      <w:pPr>
        <w:spacing w:line="360" w:lineRule="auto"/>
        <w:jc w:val="both"/>
        <w:rPr>
          <w:rFonts w:ascii="Tahoma" w:hAnsi="Tahoma" w:cs="Tahoma"/>
          <w:b/>
          <w:sz w:val="22"/>
          <w:szCs w:val="22"/>
        </w:rPr>
      </w:pPr>
    </w:p>
    <w:p w:rsidR="00ED6DB8" w:rsidRPr="00AC5CB6" w:rsidRDefault="00ED6DB8" w:rsidP="00ED6DB8">
      <w:pPr>
        <w:spacing w:line="360" w:lineRule="auto"/>
        <w:jc w:val="both"/>
        <w:rPr>
          <w:rFonts w:ascii="Tahoma" w:hAnsi="Tahoma" w:cs="Tahoma"/>
          <w:sz w:val="22"/>
          <w:szCs w:val="22"/>
        </w:rPr>
      </w:pPr>
      <w:r>
        <w:rPr>
          <w:rFonts w:ascii="Tahoma" w:hAnsi="Tahoma" w:cs="Tahoma"/>
          <w:b/>
          <w:sz w:val="22"/>
          <w:szCs w:val="22"/>
        </w:rPr>
        <w:t xml:space="preserve">   </w:t>
      </w:r>
      <w:r>
        <w:rPr>
          <w:rFonts w:ascii="Tahoma" w:hAnsi="Tahoma" w:cs="Tahoma"/>
          <w:sz w:val="22"/>
          <w:szCs w:val="22"/>
        </w:rPr>
        <w:t>Α. Βασικά στοιχεία του γενικού πλαισίου</w:t>
      </w:r>
    </w:p>
    <w:p w:rsidR="00ED6DB8" w:rsidRPr="007C44FF" w:rsidRDefault="00ED6DB8" w:rsidP="00ED6DB8">
      <w:pPr>
        <w:spacing w:line="360" w:lineRule="auto"/>
        <w:jc w:val="both"/>
        <w:rPr>
          <w:rFonts w:ascii="Tahoma" w:hAnsi="Tahoma" w:cs="Tahoma"/>
          <w:sz w:val="22"/>
          <w:szCs w:val="22"/>
        </w:rPr>
      </w:pPr>
    </w:p>
    <w:p w:rsidR="00ED6DB8"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Στην Ε.Ε. η διαχείριση του κινδύνου</w:t>
      </w:r>
      <w:r>
        <w:rPr>
          <w:rStyle w:val="FootnoteReference"/>
          <w:rFonts w:ascii="Tahoma" w:hAnsi="Tahoma" w:cs="Tahoma"/>
          <w:sz w:val="22"/>
          <w:szCs w:val="22"/>
        </w:rPr>
        <w:footnoteReference w:id="71"/>
      </w:r>
      <w:r w:rsidRPr="007C44FF">
        <w:rPr>
          <w:rFonts w:ascii="Tahoma" w:hAnsi="Tahoma" w:cs="Tahoma"/>
          <w:sz w:val="22"/>
          <w:szCs w:val="22"/>
        </w:rPr>
        <w:t xml:space="preserve"> δεν προϋποθέτει πάντοτε τη διεξαγωγή εκτίμησης του κινδύνου, άλλοτε μεν γιατί δεν το προβλέπει η οικεία νομοθεσία, άλλοτε δε γιατί τα αρμόδια κοινοτικά όργανα δεν το θεωρούν αναγκαίο</w:t>
      </w:r>
      <w:r w:rsidRPr="007C44FF">
        <w:rPr>
          <w:rStyle w:val="FootnoteReference"/>
          <w:rFonts w:ascii="Tahoma" w:hAnsi="Tahoma" w:cs="Tahoma"/>
          <w:sz w:val="22"/>
          <w:szCs w:val="22"/>
        </w:rPr>
        <w:footnoteReference w:id="72"/>
      </w:r>
      <w:r w:rsidRPr="007C44FF">
        <w:rPr>
          <w:rFonts w:ascii="Tahoma" w:hAnsi="Tahoma" w:cs="Tahoma"/>
          <w:sz w:val="22"/>
          <w:szCs w:val="22"/>
        </w:rPr>
        <w:t>. Το ΠΕΚ, στις υποθέσεις για τα αντιβιοτικά</w:t>
      </w:r>
      <w:r w:rsidRPr="007C44FF">
        <w:rPr>
          <w:rStyle w:val="FootnoteReference"/>
          <w:rFonts w:ascii="Tahoma" w:hAnsi="Tahoma" w:cs="Tahoma"/>
          <w:sz w:val="22"/>
          <w:szCs w:val="22"/>
        </w:rPr>
        <w:footnoteReference w:id="73"/>
      </w:r>
      <w:r w:rsidRPr="007C44FF">
        <w:rPr>
          <w:rFonts w:ascii="Tahoma" w:hAnsi="Tahoma" w:cs="Tahoma"/>
          <w:sz w:val="22"/>
          <w:szCs w:val="22"/>
        </w:rPr>
        <w:t>, έκρινε ότι είναι νόμιμο το προληπτικό μέτρο της απαγόρευσης διάθεσής τους στην αγορά  από το Συμβούλιο, θεωρώντας ότι δεν είναι αναγκαίο να έχει προηγηθεί εκτίμηση του κινδύνου. Υπογράμμισε δε ότι, για να ληφθεί ένα προληπτικό μέτρο δεν είναι απαραίτητο να ζητηθεί η γνώμη της οικείας επιστημονικής επιτροπής ή ότι μπορεί να ληφθεί παρά την αντίθετη γνώμη της τελευταίας</w:t>
      </w:r>
      <w:r w:rsidRPr="007C44FF">
        <w:rPr>
          <w:rStyle w:val="FootnoteReference"/>
          <w:rFonts w:ascii="Tahoma" w:hAnsi="Tahoma" w:cs="Tahoma"/>
          <w:sz w:val="22"/>
          <w:szCs w:val="22"/>
        </w:rPr>
        <w:footnoteReference w:id="74"/>
      </w:r>
      <w:r w:rsidRPr="007C44FF">
        <w:rPr>
          <w:rFonts w:ascii="Tahoma" w:hAnsi="Tahoma" w:cs="Tahoma"/>
          <w:sz w:val="22"/>
          <w:szCs w:val="22"/>
        </w:rPr>
        <w:t xml:space="preserve">. Συγκεκριμένα, το δικαστήριο έκρινε ότι </w:t>
      </w:r>
      <w:r>
        <w:rPr>
          <w:rFonts w:ascii="Tahoma" w:hAnsi="Tahoma" w:cs="Tahoma"/>
          <w:sz w:val="22"/>
          <w:szCs w:val="22"/>
        </w:rPr>
        <w:t>‘</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…δεν μπορεί να </w:t>
      </w:r>
      <w:r w:rsidRPr="007C44FF">
        <w:rPr>
          <w:rFonts w:ascii="Tahoma" w:hAnsi="Tahoma" w:cs="Tahoma"/>
          <w:sz w:val="22"/>
          <w:szCs w:val="22"/>
        </w:rPr>
        <w:lastRenderedPageBreak/>
        <w:t>προσδοκάται ότι από την εκτίμηση του κινδύνου θα προκύψουν οπωσδήποτε για τα κοινοτικά όργανα πειστικές επιστημονικές αποδείξεις ως προς το υποστατό και τη σοβαρότητα των δυνατών αρνητικών επιπτώσεων…</w:t>
      </w:r>
      <w:r>
        <w:rPr>
          <w:rFonts w:ascii="Tahoma" w:hAnsi="Tahoma" w:cs="Tahoma"/>
          <w:sz w:val="22"/>
          <w:szCs w:val="22"/>
        </w:rPr>
        <w:t>..</w:t>
      </w:r>
      <w:r w:rsidRPr="007C44FF">
        <w:rPr>
          <w:rFonts w:ascii="Tahoma" w:hAnsi="Tahoma" w:cs="Tahoma"/>
          <w:sz w:val="22"/>
          <w:szCs w:val="22"/>
        </w:rPr>
        <w:t>….[αλλά] ένα προληπτικό μέτρο δεν μπορεί να αιτιολογείται λυσιτελώς με μια καθαρά υποθετική προσέγγιση του κινδύνου……</w:t>
      </w:r>
      <w:r>
        <w:rPr>
          <w:rFonts w:ascii="Tahoma" w:hAnsi="Tahoma" w:cs="Tahoma"/>
          <w:sz w:val="22"/>
          <w:szCs w:val="22"/>
        </w:rPr>
        <w:t xml:space="preserve"> </w:t>
      </w:r>
      <w:r w:rsidRPr="007C44FF">
        <w:rPr>
          <w:rFonts w:ascii="Tahoma" w:hAnsi="Tahoma" w:cs="Tahoma"/>
          <w:sz w:val="22"/>
          <w:szCs w:val="22"/>
        </w:rPr>
        <w:t xml:space="preserve">ένα τέτοιο μέτρο μπορεί να ληφθεί μόνο αν ο κίνδυνος, χωρίς η ύπαρξη ή η σημασία του να έχουν αποδειχθεί πλήρως με πειστικά επιστημονικά στοιχεία, στηρίζεται προφανώς σε διαθέσιμα κατά το χρόνο λήψεως του μέτρου επιστημονικά </w:t>
      </w:r>
      <w:r>
        <w:rPr>
          <w:rFonts w:ascii="Tahoma" w:hAnsi="Tahoma" w:cs="Tahoma"/>
          <w:sz w:val="22"/>
          <w:szCs w:val="22"/>
        </w:rPr>
        <w:t>δεδομένα</w:t>
      </w:r>
      <w:r w:rsidRPr="007C44FF">
        <w:rPr>
          <w:rStyle w:val="FootnoteReference"/>
          <w:rFonts w:ascii="Tahoma" w:hAnsi="Tahoma" w:cs="Tahoma"/>
          <w:sz w:val="22"/>
          <w:szCs w:val="22"/>
        </w:rPr>
        <w:footnoteReference w:id="75"/>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Η φράση </w:t>
      </w:r>
      <w:r>
        <w:rPr>
          <w:rFonts w:ascii="Tahoma" w:hAnsi="Tahoma" w:cs="Tahoma"/>
          <w:sz w:val="22"/>
          <w:szCs w:val="22"/>
        </w:rPr>
        <w:t>‘</w:t>
      </w:r>
      <w:r w:rsidRPr="007C44FF">
        <w:rPr>
          <w:rFonts w:ascii="Tahoma" w:hAnsi="Tahoma" w:cs="Tahoma"/>
          <w:sz w:val="22"/>
          <w:szCs w:val="22"/>
        </w:rPr>
        <w:t>‘να στηρίζεται σε διαθέσιμα επιστημονικά δεδομένα</w:t>
      </w:r>
      <w:r>
        <w:rPr>
          <w:rFonts w:ascii="Tahoma" w:hAnsi="Tahoma" w:cs="Tahoma"/>
          <w:sz w:val="22"/>
          <w:szCs w:val="22"/>
        </w:rPr>
        <w:t>’</w:t>
      </w:r>
      <w:r w:rsidRPr="007C44FF">
        <w:rPr>
          <w:rFonts w:ascii="Tahoma" w:hAnsi="Tahoma" w:cs="Tahoma"/>
          <w:sz w:val="22"/>
          <w:szCs w:val="22"/>
        </w:rPr>
        <w:t>’ αν και είναι ασαφής, ωστόσο υποδηλώνει ότι η λήψη προληπτικών μέτρων δεν έχει ως προϋπόθεση την εκπόνηση εκτίμησης κινδύνου</w:t>
      </w:r>
      <w:r w:rsidRPr="007C44FF">
        <w:rPr>
          <w:rStyle w:val="FootnoteReference"/>
          <w:rFonts w:ascii="Tahoma" w:hAnsi="Tahoma" w:cs="Tahoma"/>
          <w:sz w:val="22"/>
          <w:szCs w:val="22"/>
        </w:rPr>
        <w:footnoteReference w:id="76"/>
      </w:r>
      <w:r w:rsidRPr="007C44FF">
        <w:rPr>
          <w:rFonts w:ascii="Tahoma" w:hAnsi="Tahoma" w:cs="Tahoma"/>
          <w:sz w:val="22"/>
          <w:szCs w:val="22"/>
        </w:rPr>
        <w:t xml:space="preserve">. </w:t>
      </w:r>
    </w:p>
    <w:p w:rsidR="00ED6DB8" w:rsidRDefault="00ED6DB8" w:rsidP="00ED6DB8">
      <w:pPr>
        <w:spacing w:line="360" w:lineRule="auto"/>
        <w:jc w:val="both"/>
        <w:rPr>
          <w:rFonts w:ascii="Tahoma" w:hAnsi="Tahoma" w:cs="Tahoma"/>
          <w:sz w:val="22"/>
          <w:szCs w:val="22"/>
        </w:rPr>
      </w:pPr>
      <w:r>
        <w:rPr>
          <w:rFonts w:ascii="Tahoma" w:hAnsi="Tahoma" w:cs="Tahoma"/>
          <w:sz w:val="22"/>
          <w:szCs w:val="22"/>
        </w:rPr>
        <w:t xml:space="preserve">       Σε ό,τι αφορά, ειδικότερα, στην επιστημονική γνώμη των αρμόδιων επιστημονικών επιτροπών της Κοινότητας, θα πρέπει να τονιστεί ότι τα πολιτικά όργανα της Κοινότητας μπορούν να μην τη λάβουν υπόψη τους, πλην όμως οφείλουν να παράσχουν εξηγήσεις για την τυχόν διαφοροποίησή τους</w:t>
      </w:r>
      <w:r>
        <w:rPr>
          <w:rStyle w:val="FootnoteReference"/>
          <w:rFonts w:ascii="Tahoma" w:hAnsi="Tahoma" w:cs="Tahoma"/>
          <w:sz w:val="22"/>
          <w:szCs w:val="22"/>
        </w:rPr>
        <w:footnoteReference w:id="77"/>
      </w:r>
      <w:r>
        <w:rPr>
          <w:rFonts w:ascii="Tahoma" w:hAnsi="Tahoma" w:cs="Tahoma"/>
          <w:sz w:val="22"/>
          <w:szCs w:val="22"/>
        </w:rPr>
        <w:t>. Ωστόσο, παρά το μη δεσμευτικό χαρακτήρα τους</w:t>
      </w:r>
      <w:r>
        <w:rPr>
          <w:rStyle w:val="FootnoteReference"/>
          <w:rFonts w:ascii="Tahoma" w:hAnsi="Tahoma" w:cs="Tahoma"/>
          <w:sz w:val="22"/>
          <w:szCs w:val="22"/>
        </w:rPr>
        <w:footnoteReference w:id="78"/>
      </w:r>
      <w:r>
        <w:rPr>
          <w:rFonts w:ascii="Tahoma" w:hAnsi="Tahoma" w:cs="Tahoma"/>
          <w:sz w:val="22"/>
          <w:szCs w:val="22"/>
        </w:rPr>
        <w:t>, οι γνώμες των επιστημονικών επιτροπών της Κοινότητας θα πρέπει να είναι αποτέλεσμα του σεβασμού των διαδικαστικών απαιτήσεων που προβλέπονται από τις οικείες διατάξεις. Διαφορετικά είναι παράνομες, υπόκεινται δε σε δικαστικό έλεγχο, όχι οι επιστημονικές γνώμες αυτές καθαυτές αλλά οι διοικητικές πράξεις που στηρίζονται σ’ αυτές</w:t>
      </w:r>
      <w:r>
        <w:rPr>
          <w:rStyle w:val="FootnoteReference"/>
          <w:rFonts w:ascii="Tahoma" w:hAnsi="Tahoma" w:cs="Tahoma"/>
          <w:sz w:val="22"/>
          <w:szCs w:val="22"/>
        </w:rPr>
        <w:footnoteReference w:id="79"/>
      </w:r>
      <w:r>
        <w:rPr>
          <w:rFonts w:ascii="Tahoma" w:hAnsi="Tahoma" w:cs="Tahoma"/>
          <w:sz w:val="22"/>
          <w:szCs w:val="22"/>
        </w:rPr>
        <w:t>. Όπως επεσήμανε ο Κοινοτικός δικαστής, η επιστημονική γνώμη είναι εξαιρετικά σημαντική ‘‘οπότε η έλλειψη νομιμότητας της γνώμης αυτής πρέπει να θεωρείται ως παράβαση ουσιωδών κανόνων, που θίγει τη νομιμότητα της αποφάσεως του οικείου οργάνου’’</w:t>
      </w:r>
      <w:r>
        <w:rPr>
          <w:rStyle w:val="FootnoteReference"/>
          <w:rFonts w:ascii="Tahoma" w:hAnsi="Tahoma" w:cs="Tahoma"/>
          <w:sz w:val="22"/>
          <w:szCs w:val="22"/>
        </w:rPr>
        <w:footnoteReference w:id="80"/>
      </w:r>
      <w:r>
        <w:rPr>
          <w:rFonts w:ascii="Tahoma" w:hAnsi="Tahoma" w:cs="Tahoma"/>
          <w:sz w:val="22"/>
          <w:szCs w:val="22"/>
        </w:rPr>
        <w:t>.</w:t>
      </w:r>
    </w:p>
    <w:p w:rsidR="00ED6DB8" w:rsidRDefault="00ED6DB8" w:rsidP="00ED6DB8">
      <w:pPr>
        <w:spacing w:line="360" w:lineRule="auto"/>
        <w:jc w:val="both"/>
        <w:rPr>
          <w:rFonts w:ascii="Tahoma" w:hAnsi="Tahoma" w:cs="Tahoma"/>
          <w:sz w:val="22"/>
          <w:szCs w:val="22"/>
        </w:rPr>
      </w:pPr>
      <w:r>
        <w:rPr>
          <w:rFonts w:ascii="Tahoma" w:hAnsi="Tahoma" w:cs="Tahoma"/>
          <w:sz w:val="22"/>
          <w:szCs w:val="22"/>
        </w:rPr>
        <w:t xml:space="preserve">        Επειδή, σύμφωνα με τα παραπάνω, η επιστημονική γνώση είναι μεν αναγκαία πλην όμως δεν είναι αρκετή για την αντιμετώπιση των κινδύνων, η διαχείρισή τους ανήκει σε κάθε περίπτωση στα αρμόδια πολιτικά όργανα της Κοινότητας. Αυτό άλλωστε προκύπτει τόσο από τη νομοθεσία όσο και από τη νομολογία. Ειδικότερα, το </w:t>
      </w:r>
      <w:r>
        <w:rPr>
          <w:rFonts w:ascii="Tahoma" w:hAnsi="Tahoma" w:cs="Tahoma"/>
          <w:sz w:val="22"/>
          <w:szCs w:val="22"/>
        </w:rPr>
        <w:lastRenderedPageBreak/>
        <w:t>άρθρο 174(3) ΕΚ προβλέπει ότι ‘‘τα διαθέσιμα επιστημονικά και τεχνικά δεδομένα’’ αποτελούν ένα ‘‘στοιχείο’’ το οποίο η Κοινότητα ‘‘λαμβάνει υπόψη’’ στην εκπόνηση ‘‘της πολιτικής στον τομέα του περιβάλλοντος’’, οι αρμόδιες δε αρχές πρέπει να λαμβάνουν υπόψη τα πλεονεκτήματα και τις επιβαρύνσεις, την οικονομική και κοινωνική ανάπτυξη κλπ. Η νομολογία είναι ακόμη πιο σαφής, καθώς επανειλημμένα αναγνώρισε την αυτονομία των αρμοδίων κοινοτικών αρχών στη διαχείριση των κινδύνων με το επιχείρημα ότι πρόκειται για ‘‘πολύπλοκες καταστάσεις’’ στις οποίες θα πρέπει οι ως άνω κίνδυνοι να αντιμετωπιστούν υπό το πρίσμα οικονομικών, πολιτικών και κοινωνικών παραμέτρων</w:t>
      </w:r>
      <w:r>
        <w:rPr>
          <w:rStyle w:val="FootnoteReference"/>
          <w:rFonts w:ascii="Tahoma" w:hAnsi="Tahoma" w:cs="Tahoma"/>
          <w:sz w:val="22"/>
          <w:szCs w:val="22"/>
        </w:rPr>
        <w:footnoteReference w:id="81"/>
      </w:r>
      <w:r>
        <w:rPr>
          <w:rFonts w:ascii="Tahoma" w:hAnsi="Tahoma" w:cs="Tahoma"/>
          <w:sz w:val="22"/>
          <w:szCs w:val="22"/>
        </w:rPr>
        <w:t>. Ειδικότερα, κατά πάγια νομολογία, όταν πρόκειται για πολύπλοκες ή λεπτές και αμφισβητούμενες περιπτώσεις η Επιτροπή διαθέτει ευρεία διακριτική ευχέρεια, η άσκηση της οποίας υπόκειται σε περιορισμένο δικαστικό έλεγχο</w:t>
      </w:r>
      <w:r>
        <w:rPr>
          <w:rStyle w:val="FootnoteReference"/>
          <w:rFonts w:ascii="Tahoma" w:hAnsi="Tahoma" w:cs="Tahoma"/>
          <w:sz w:val="22"/>
          <w:szCs w:val="22"/>
        </w:rPr>
        <w:footnoteReference w:id="82"/>
      </w:r>
      <w:r>
        <w:rPr>
          <w:rFonts w:ascii="Tahoma" w:hAnsi="Tahoma" w:cs="Tahoma"/>
          <w:sz w:val="22"/>
          <w:szCs w:val="22"/>
        </w:rPr>
        <w:t xml:space="preserve">. </w:t>
      </w:r>
    </w:p>
    <w:p w:rsidR="00ED6DB8" w:rsidRDefault="00ED6DB8" w:rsidP="00ED6DB8">
      <w:pPr>
        <w:spacing w:line="360" w:lineRule="auto"/>
        <w:jc w:val="both"/>
        <w:rPr>
          <w:rFonts w:ascii="Tahoma" w:hAnsi="Tahoma" w:cs="Tahoma"/>
          <w:sz w:val="22"/>
          <w:szCs w:val="22"/>
        </w:rPr>
      </w:pPr>
    </w:p>
    <w:p w:rsidR="00ED6DB8" w:rsidRPr="00711733" w:rsidRDefault="00ED6DB8" w:rsidP="00ED6DB8">
      <w:p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2.3.2. Η διαχείριση του κινδύνου στις ΗΠΑ</w:t>
      </w:r>
      <w:r w:rsidRPr="007C44FF">
        <w:rPr>
          <w:rStyle w:val="FootnoteReference"/>
          <w:rFonts w:ascii="Tahoma" w:hAnsi="Tahoma" w:cs="Tahoma"/>
          <w:b/>
          <w:sz w:val="22"/>
          <w:szCs w:val="22"/>
        </w:rPr>
        <w:footnoteReference w:id="83"/>
      </w:r>
    </w:p>
    <w:p w:rsidR="00ED6DB8" w:rsidRPr="007C44FF" w:rsidRDefault="00ED6DB8" w:rsidP="00ED6DB8">
      <w:pPr>
        <w:spacing w:line="360" w:lineRule="auto"/>
        <w:jc w:val="both"/>
        <w:rPr>
          <w:rFonts w:ascii="Tahoma" w:hAnsi="Tahoma" w:cs="Tahoma"/>
          <w:b/>
          <w:sz w:val="22"/>
          <w:szCs w:val="22"/>
        </w:rPr>
      </w:pP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b/>
          <w:sz w:val="22"/>
          <w:szCs w:val="22"/>
        </w:rPr>
        <w:t xml:space="preserve">          </w:t>
      </w:r>
      <w:r w:rsidRPr="007C44FF">
        <w:rPr>
          <w:rFonts w:ascii="Tahoma" w:hAnsi="Tahoma" w:cs="Tahoma"/>
          <w:sz w:val="22"/>
          <w:szCs w:val="22"/>
        </w:rPr>
        <w:t>Στις ΗΠΑ η διαχείριση του κινδύνου έχει ανατεθεί από το Κογκρέσο  στις Ομοσπονδιακές Αρχές (</w:t>
      </w:r>
      <w:r w:rsidRPr="007C44FF">
        <w:rPr>
          <w:rFonts w:ascii="Tahoma" w:hAnsi="Tahoma" w:cs="Tahoma"/>
          <w:sz w:val="22"/>
          <w:szCs w:val="22"/>
          <w:lang w:val="en-GB"/>
        </w:rPr>
        <w:t>Federal</w:t>
      </w:r>
      <w:r w:rsidRPr="007C44FF">
        <w:rPr>
          <w:rFonts w:ascii="Tahoma" w:hAnsi="Tahoma" w:cs="Tahoma"/>
          <w:sz w:val="22"/>
          <w:szCs w:val="22"/>
        </w:rPr>
        <w:t xml:space="preserve"> </w:t>
      </w:r>
      <w:r w:rsidRPr="007C44FF">
        <w:rPr>
          <w:rFonts w:ascii="Tahoma" w:hAnsi="Tahoma" w:cs="Tahoma"/>
          <w:sz w:val="22"/>
          <w:szCs w:val="22"/>
          <w:lang w:val="en-GB"/>
        </w:rPr>
        <w:t>Agencies</w:t>
      </w:r>
      <w:r w:rsidRPr="007C44FF">
        <w:rPr>
          <w:rFonts w:ascii="Tahoma" w:hAnsi="Tahoma" w:cs="Tahoma"/>
          <w:sz w:val="22"/>
          <w:szCs w:val="22"/>
        </w:rPr>
        <w:t>), των οποίων η αρμοδιότητα καθορίζεται ανάλογα με το θεματικό πεδίο (EPA</w:t>
      </w:r>
      <w:r w:rsidRPr="007C44FF">
        <w:rPr>
          <w:rStyle w:val="FootnoteReference"/>
          <w:rFonts w:ascii="Tahoma" w:hAnsi="Tahoma" w:cs="Tahoma"/>
          <w:sz w:val="22"/>
          <w:szCs w:val="22"/>
        </w:rPr>
        <w:footnoteReference w:id="84"/>
      </w:r>
      <w:r w:rsidRPr="007C44FF">
        <w:rPr>
          <w:rFonts w:ascii="Tahoma" w:hAnsi="Tahoma" w:cs="Tahoma"/>
          <w:sz w:val="22"/>
          <w:szCs w:val="22"/>
        </w:rPr>
        <w:t>, OSHA</w:t>
      </w:r>
      <w:r w:rsidRPr="007C44FF">
        <w:rPr>
          <w:rStyle w:val="FootnoteReference"/>
          <w:rFonts w:ascii="Tahoma" w:hAnsi="Tahoma" w:cs="Tahoma"/>
          <w:sz w:val="22"/>
          <w:szCs w:val="22"/>
        </w:rPr>
        <w:footnoteReference w:id="85"/>
      </w:r>
      <w:r w:rsidRPr="007C44FF">
        <w:rPr>
          <w:rFonts w:ascii="Tahoma" w:hAnsi="Tahoma" w:cs="Tahoma"/>
          <w:sz w:val="22"/>
          <w:szCs w:val="22"/>
        </w:rPr>
        <w:t>, F</w:t>
      </w:r>
      <w:r w:rsidRPr="007C44FF">
        <w:rPr>
          <w:rFonts w:ascii="Tahoma" w:hAnsi="Tahoma" w:cs="Tahoma"/>
          <w:sz w:val="22"/>
          <w:szCs w:val="22"/>
          <w:lang w:val="en-US"/>
        </w:rPr>
        <w:t>DA</w:t>
      </w:r>
      <w:r w:rsidRPr="007C44FF">
        <w:rPr>
          <w:rStyle w:val="FootnoteReference"/>
          <w:rFonts w:ascii="Tahoma" w:hAnsi="Tahoma" w:cs="Tahoma"/>
          <w:sz w:val="22"/>
          <w:szCs w:val="22"/>
          <w:lang w:val="en-US"/>
        </w:rPr>
        <w:footnoteReference w:id="86"/>
      </w:r>
      <w:r w:rsidRPr="007C44FF">
        <w:rPr>
          <w:rFonts w:ascii="Tahoma" w:hAnsi="Tahoma" w:cs="Tahoma"/>
          <w:sz w:val="22"/>
          <w:szCs w:val="22"/>
        </w:rPr>
        <w:t xml:space="preserve">, </w:t>
      </w:r>
      <w:r w:rsidRPr="007C44FF">
        <w:rPr>
          <w:rFonts w:ascii="Tahoma" w:hAnsi="Tahoma" w:cs="Tahoma"/>
          <w:sz w:val="22"/>
          <w:szCs w:val="22"/>
          <w:lang w:val="en-US"/>
        </w:rPr>
        <w:t>FWS</w:t>
      </w:r>
      <w:r w:rsidRPr="007C44FF">
        <w:rPr>
          <w:rStyle w:val="FootnoteReference"/>
          <w:rFonts w:ascii="Tahoma" w:hAnsi="Tahoma" w:cs="Tahoma"/>
          <w:sz w:val="22"/>
          <w:szCs w:val="22"/>
          <w:lang w:val="en-US"/>
        </w:rPr>
        <w:footnoteReference w:id="87"/>
      </w:r>
      <w:r w:rsidRPr="007C44FF">
        <w:rPr>
          <w:rFonts w:ascii="Tahoma" w:hAnsi="Tahoma" w:cs="Tahoma"/>
          <w:sz w:val="22"/>
          <w:szCs w:val="22"/>
        </w:rPr>
        <w:t xml:space="preserve"> κλπ). Η κανονιστική τους δραστηριότητα στηρίζεται σε δύο νομοθετικές προσεγγίσεις της δ</w:t>
      </w:r>
      <w:r>
        <w:rPr>
          <w:rFonts w:ascii="Tahoma" w:hAnsi="Tahoma" w:cs="Tahoma"/>
          <w:sz w:val="22"/>
          <w:szCs w:val="22"/>
        </w:rPr>
        <w:t>ιαχείρισης του κινδύνου: α) στη λεγόμενη</w:t>
      </w:r>
      <w:r w:rsidRPr="007C44FF">
        <w:rPr>
          <w:rFonts w:ascii="Tahoma" w:hAnsi="Tahoma" w:cs="Tahoma"/>
          <w:sz w:val="22"/>
          <w:szCs w:val="22"/>
        </w:rPr>
        <w:t xml:space="preserve"> προσέγγιση με βάση τον κίνδυνο (risk-</w:t>
      </w:r>
      <w:r w:rsidRPr="007C44FF">
        <w:rPr>
          <w:rFonts w:ascii="Tahoma" w:hAnsi="Tahoma" w:cs="Tahoma"/>
          <w:sz w:val="22"/>
          <w:szCs w:val="22"/>
          <w:lang w:val="en-GB"/>
        </w:rPr>
        <w:t>based</w:t>
      </w:r>
      <w:r w:rsidRPr="007C44FF">
        <w:rPr>
          <w:rFonts w:ascii="Tahoma" w:hAnsi="Tahoma" w:cs="Tahoma"/>
          <w:sz w:val="22"/>
          <w:szCs w:val="22"/>
        </w:rPr>
        <w:t xml:space="preserve"> ή </w:t>
      </w:r>
      <w:r w:rsidRPr="007C44FF">
        <w:rPr>
          <w:rFonts w:ascii="Tahoma" w:hAnsi="Tahoma" w:cs="Tahoma"/>
          <w:sz w:val="22"/>
          <w:szCs w:val="22"/>
          <w:lang w:val="en-GB"/>
        </w:rPr>
        <w:t>health</w:t>
      </w:r>
      <w:r w:rsidRPr="007C44FF">
        <w:rPr>
          <w:rFonts w:ascii="Tahoma" w:hAnsi="Tahoma" w:cs="Tahoma"/>
          <w:sz w:val="22"/>
          <w:szCs w:val="22"/>
        </w:rPr>
        <w:t>-</w:t>
      </w:r>
      <w:r w:rsidRPr="007C44FF">
        <w:rPr>
          <w:rFonts w:ascii="Tahoma" w:hAnsi="Tahoma" w:cs="Tahoma"/>
          <w:sz w:val="22"/>
          <w:szCs w:val="22"/>
          <w:lang w:val="en-GB"/>
        </w:rPr>
        <w:t>based</w:t>
      </w:r>
      <w:r w:rsidRPr="007C44FF">
        <w:rPr>
          <w:rFonts w:ascii="Tahoma" w:hAnsi="Tahoma" w:cs="Tahoma"/>
          <w:sz w:val="22"/>
          <w:szCs w:val="22"/>
        </w:rPr>
        <w:t>)</w:t>
      </w:r>
      <w:r>
        <w:rPr>
          <w:rFonts w:ascii="Tahoma" w:hAnsi="Tahoma" w:cs="Tahoma"/>
          <w:sz w:val="22"/>
          <w:szCs w:val="22"/>
        </w:rPr>
        <w:t xml:space="preserve"> και στη λεγόμενη</w:t>
      </w:r>
      <w:r w:rsidRPr="007C44FF">
        <w:rPr>
          <w:rFonts w:ascii="Tahoma" w:hAnsi="Tahoma" w:cs="Tahoma"/>
          <w:sz w:val="22"/>
          <w:szCs w:val="22"/>
        </w:rPr>
        <w:t xml:space="preserve"> προσέγγιση με βάση την τεχνολογία  (</w:t>
      </w:r>
      <w:r w:rsidRPr="007C44FF">
        <w:rPr>
          <w:rFonts w:ascii="Tahoma" w:hAnsi="Tahoma" w:cs="Tahoma"/>
          <w:sz w:val="22"/>
          <w:szCs w:val="22"/>
          <w:lang w:val="en-GB"/>
        </w:rPr>
        <w:t>technology</w:t>
      </w:r>
      <w:r w:rsidRPr="007C44FF">
        <w:rPr>
          <w:rFonts w:ascii="Tahoma" w:hAnsi="Tahoma" w:cs="Tahoma"/>
          <w:sz w:val="22"/>
          <w:szCs w:val="22"/>
        </w:rPr>
        <w:t xml:space="preserve"> </w:t>
      </w:r>
      <w:r w:rsidRPr="007C44FF">
        <w:rPr>
          <w:rFonts w:ascii="Tahoma" w:hAnsi="Tahoma" w:cs="Tahoma"/>
          <w:sz w:val="22"/>
          <w:szCs w:val="22"/>
          <w:lang w:val="en-GB"/>
        </w:rPr>
        <w:t>based</w:t>
      </w:r>
      <w:r w:rsidRPr="007C44FF">
        <w:rPr>
          <w:rFonts w:ascii="Tahoma" w:hAnsi="Tahoma" w:cs="Tahoma"/>
          <w:sz w:val="22"/>
          <w:szCs w:val="22"/>
        </w:rPr>
        <w:t>)</w:t>
      </w:r>
      <w:r w:rsidRPr="007C44FF">
        <w:rPr>
          <w:rStyle w:val="FootnoteReference"/>
          <w:rFonts w:ascii="Tahoma" w:hAnsi="Tahoma" w:cs="Tahoma"/>
          <w:sz w:val="22"/>
          <w:szCs w:val="22"/>
        </w:rPr>
        <w:footnoteReference w:id="88"/>
      </w:r>
      <w:r w:rsidRPr="007C44FF">
        <w:rPr>
          <w:rFonts w:ascii="Tahoma" w:hAnsi="Tahoma" w:cs="Tahoma"/>
          <w:sz w:val="22"/>
          <w:szCs w:val="22"/>
        </w:rPr>
        <w:t xml:space="preserve">. </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lastRenderedPageBreak/>
        <w:t xml:space="preserve">          Σύμφωνα με την πρώτη, οι επιβαλλόμενες κανονιστικές ρυθμίσεις πρέπει να αποσκοπούν σ’ ένα αποδεκτό επίπεδο ασφάλειας (ή κινδύνου), ενώ, σύμφωνα με τη δεύτερη, πρέπει να αποσκοπούν στον καθορισμό επιπέδων ασφάλειας τα οποία είναι πρακτικώς εφικτά με βάση τις διαθέσιμες τεχνικές</w:t>
      </w:r>
      <w:r w:rsidRPr="007C44FF">
        <w:rPr>
          <w:rStyle w:val="FootnoteReference"/>
          <w:rFonts w:ascii="Tahoma" w:hAnsi="Tahoma" w:cs="Tahoma"/>
          <w:sz w:val="22"/>
          <w:szCs w:val="22"/>
        </w:rPr>
        <w:footnoteReference w:id="89"/>
      </w:r>
      <w:r w:rsidRPr="007C44FF">
        <w:rPr>
          <w:rFonts w:ascii="Tahoma" w:hAnsi="Tahoma" w:cs="Tahoma"/>
          <w:sz w:val="22"/>
          <w:szCs w:val="22"/>
        </w:rPr>
        <w:t>. Ωστόσο, ελάχιστοι ομοσπονδιακοί περιβαλλοντικοί νόμοι ακολουθούν μονομερώς είτε τη μια είτε την άλλη προσέγγιση, καθώς υιοθετούν μια κοινή στρατηγική η οποία περιλαμβάνει και τα δύο ως άνω κανονιστικά εργαλεία</w:t>
      </w:r>
      <w:r w:rsidRPr="007C44FF">
        <w:rPr>
          <w:rStyle w:val="FootnoteReference"/>
          <w:rFonts w:ascii="Tahoma" w:hAnsi="Tahoma" w:cs="Tahoma"/>
          <w:sz w:val="22"/>
          <w:szCs w:val="22"/>
        </w:rPr>
        <w:footnoteReference w:id="90"/>
      </w:r>
      <w:r w:rsidRPr="007C44FF">
        <w:rPr>
          <w:rFonts w:ascii="Tahoma" w:hAnsi="Tahoma" w:cs="Tahoma"/>
          <w:sz w:val="22"/>
          <w:szCs w:val="22"/>
        </w:rPr>
        <w:t>. Η υιοθέτηση της κοινής στρατηγικής ήταν το αποτέλεσμα της κριτικής που ασκήθηκε για κάθε ένα από τα παραπάνω κανονιστικά εργαλεία.</w:t>
      </w:r>
    </w:p>
    <w:p w:rsidR="00ED6DB8" w:rsidRPr="007C44FF"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Σε ό,τι αφορά στην κριτική κατά της προσέγγισης με βάση την τεχνολογία, αυτή θεωρεί ότι η παραπάνω προσέγγιση είναι οικονομικά αναποτελεσματική διότι οδηγεί σε υπερβολικές ρυθμίσεις, αφού δεν στηρίζεται σε επιστημονικές αποδείξεις για την ύπαρξη κινδύνου</w:t>
      </w:r>
      <w:r w:rsidRPr="007C44FF">
        <w:rPr>
          <w:rStyle w:val="FootnoteReference"/>
          <w:rFonts w:ascii="Tahoma" w:hAnsi="Tahoma" w:cs="Tahoma"/>
          <w:sz w:val="22"/>
          <w:szCs w:val="22"/>
        </w:rPr>
        <w:footnoteReference w:id="91"/>
      </w:r>
      <w:r w:rsidRPr="007C44FF">
        <w:rPr>
          <w:rFonts w:ascii="Tahoma" w:hAnsi="Tahoma" w:cs="Tahoma"/>
          <w:sz w:val="22"/>
          <w:szCs w:val="22"/>
        </w:rPr>
        <w:t>. Αυτό έχει σαν συνέπεια να επιβάλλεται στις επιχειρήσεις να χρησιμοποιούν τεχνολογικές μεθόδους οι οποίες επιφέρουν αδικαιολόγητο κόστος</w:t>
      </w:r>
      <w:r w:rsidRPr="007C44FF">
        <w:rPr>
          <w:rStyle w:val="FootnoteReference"/>
          <w:rFonts w:ascii="Tahoma" w:hAnsi="Tahoma" w:cs="Tahoma"/>
          <w:sz w:val="22"/>
          <w:szCs w:val="22"/>
        </w:rPr>
        <w:footnoteReference w:id="92"/>
      </w:r>
      <w:r w:rsidRPr="007C44FF">
        <w:rPr>
          <w:rFonts w:ascii="Tahoma" w:hAnsi="Tahoma" w:cs="Tahoma"/>
          <w:sz w:val="22"/>
          <w:szCs w:val="22"/>
        </w:rPr>
        <w:t>. Γι’ αυτό το λόγο, οι υποστηρικτές αυτής της κριτικής θεωρούν ότι η διαχείριση του κινδύνου πρέπει να βασίζεται σε δύο στοιχεία: στην επιστημονική εκτίμηση του κινδύνου και στην ανάλυση κόστους/οφέλους</w:t>
      </w:r>
      <w:r w:rsidRPr="007C44FF">
        <w:rPr>
          <w:rStyle w:val="FootnoteReference"/>
          <w:rFonts w:ascii="Tahoma" w:hAnsi="Tahoma" w:cs="Tahoma"/>
          <w:sz w:val="22"/>
          <w:szCs w:val="22"/>
        </w:rPr>
        <w:footnoteReference w:id="93"/>
      </w:r>
      <w:r w:rsidRPr="007C44FF">
        <w:rPr>
          <w:rFonts w:ascii="Tahoma" w:hAnsi="Tahoma" w:cs="Tahoma"/>
          <w:sz w:val="22"/>
          <w:szCs w:val="22"/>
        </w:rPr>
        <w:t xml:space="preserve">. Ο καθοριστικός παράγοντας λοιπόν είναι η </w:t>
      </w:r>
      <w:r>
        <w:rPr>
          <w:rFonts w:ascii="Tahoma" w:hAnsi="Tahoma" w:cs="Tahoma"/>
          <w:sz w:val="22"/>
          <w:szCs w:val="22"/>
        </w:rPr>
        <w:t>παραδοχή</w:t>
      </w:r>
      <w:r w:rsidRPr="007C44FF">
        <w:rPr>
          <w:rFonts w:ascii="Tahoma" w:hAnsi="Tahoma" w:cs="Tahoma"/>
          <w:sz w:val="22"/>
          <w:szCs w:val="22"/>
        </w:rPr>
        <w:t xml:space="preserve"> ότι η επιστήμη είναι σε θέση να παράσχει την αναγκαία πληροφ</w:t>
      </w:r>
      <w:r>
        <w:rPr>
          <w:rFonts w:ascii="Tahoma" w:hAnsi="Tahoma" w:cs="Tahoma"/>
          <w:sz w:val="22"/>
          <w:szCs w:val="22"/>
        </w:rPr>
        <w:t>όρηση σχετικά με τους κινδύνους. Α</w:t>
      </w:r>
      <w:r w:rsidRPr="007C44FF">
        <w:rPr>
          <w:rFonts w:ascii="Tahoma" w:hAnsi="Tahoma" w:cs="Tahoma"/>
          <w:sz w:val="22"/>
          <w:szCs w:val="22"/>
        </w:rPr>
        <w:t>νήκει δε στην αρμόδια Αρχή τόσο το βάρος απόδειξης για την ύπαρξη και το εύρος των κινδύνων όσο και οι μέθοδοι αποτροπής ή μείωσής τους</w:t>
      </w:r>
      <w:r w:rsidRPr="007C44FF">
        <w:rPr>
          <w:rStyle w:val="FootnoteReference"/>
          <w:rFonts w:ascii="Tahoma" w:hAnsi="Tahoma" w:cs="Tahoma"/>
          <w:sz w:val="22"/>
          <w:szCs w:val="22"/>
        </w:rPr>
        <w:footnoteReference w:id="94"/>
      </w:r>
      <w:r w:rsidRPr="007C44FF">
        <w:rPr>
          <w:rFonts w:ascii="Tahoma" w:hAnsi="Tahoma" w:cs="Tahoma"/>
          <w:sz w:val="22"/>
          <w:szCs w:val="22"/>
        </w:rPr>
        <w:t xml:space="preserve">. Οι παραπάνω ιδέες αποτέλεσαν τη βάση των ρυθμίσεων </w:t>
      </w:r>
      <w:r w:rsidRPr="007C44FF">
        <w:rPr>
          <w:rFonts w:ascii="Tahoma" w:hAnsi="Tahoma" w:cs="Tahoma"/>
          <w:sz w:val="22"/>
          <w:szCs w:val="22"/>
          <w:lang w:val="en-US"/>
        </w:rPr>
        <w:t>Clean</w:t>
      </w:r>
      <w:r w:rsidRPr="007C44FF">
        <w:rPr>
          <w:rFonts w:ascii="Tahoma" w:hAnsi="Tahoma" w:cs="Tahoma"/>
          <w:sz w:val="22"/>
          <w:szCs w:val="22"/>
        </w:rPr>
        <w:t xml:space="preserve"> </w:t>
      </w:r>
      <w:r w:rsidRPr="007C44FF">
        <w:rPr>
          <w:rFonts w:ascii="Tahoma" w:hAnsi="Tahoma" w:cs="Tahoma"/>
          <w:sz w:val="22"/>
          <w:szCs w:val="22"/>
          <w:lang w:val="en-US"/>
        </w:rPr>
        <w:t>Water</w:t>
      </w:r>
      <w:r w:rsidRPr="007C44FF">
        <w:rPr>
          <w:rFonts w:ascii="Tahoma" w:hAnsi="Tahoma" w:cs="Tahoma"/>
          <w:sz w:val="22"/>
          <w:szCs w:val="22"/>
        </w:rPr>
        <w:t xml:space="preserve"> </w:t>
      </w:r>
      <w:r w:rsidRPr="007C44FF">
        <w:rPr>
          <w:rFonts w:ascii="Tahoma" w:hAnsi="Tahoma" w:cs="Tahoma"/>
          <w:sz w:val="22"/>
          <w:szCs w:val="22"/>
          <w:lang w:val="en-US"/>
        </w:rPr>
        <w:t>Act</w:t>
      </w:r>
      <w:r w:rsidRPr="007C44FF">
        <w:rPr>
          <w:rFonts w:ascii="Tahoma" w:hAnsi="Tahoma" w:cs="Tahoma"/>
          <w:sz w:val="22"/>
          <w:szCs w:val="22"/>
        </w:rPr>
        <w:t xml:space="preserve"> και </w:t>
      </w:r>
      <w:r w:rsidRPr="007C44FF">
        <w:rPr>
          <w:rFonts w:ascii="Tahoma" w:hAnsi="Tahoma" w:cs="Tahoma"/>
          <w:sz w:val="22"/>
          <w:szCs w:val="22"/>
          <w:lang w:val="en-US"/>
        </w:rPr>
        <w:t>Clean</w:t>
      </w:r>
      <w:r w:rsidRPr="007C44FF">
        <w:rPr>
          <w:rFonts w:ascii="Tahoma" w:hAnsi="Tahoma" w:cs="Tahoma"/>
          <w:sz w:val="22"/>
          <w:szCs w:val="22"/>
        </w:rPr>
        <w:t xml:space="preserve"> </w:t>
      </w:r>
      <w:r w:rsidRPr="007C44FF">
        <w:rPr>
          <w:rFonts w:ascii="Tahoma" w:hAnsi="Tahoma" w:cs="Tahoma"/>
          <w:sz w:val="22"/>
          <w:szCs w:val="22"/>
          <w:lang w:val="en-US"/>
        </w:rPr>
        <w:t>Air</w:t>
      </w:r>
      <w:r w:rsidRPr="007C44FF">
        <w:rPr>
          <w:rFonts w:ascii="Tahoma" w:hAnsi="Tahoma" w:cs="Tahoma"/>
          <w:sz w:val="22"/>
          <w:szCs w:val="22"/>
        </w:rPr>
        <w:t xml:space="preserve"> </w:t>
      </w:r>
      <w:r w:rsidRPr="007C44FF">
        <w:rPr>
          <w:rFonts w:ascii="Tahoma" w:hAnsi="Tahoma" w:cs="Tahoma"/>
          <w:sz w:val="22"/>
          <w:szCs w:val="22"/>
          <w:lang w:val="en-US"/>
        </w:rPr>
        <w:t>Act</w:t>
      </w:r>
      <w:r w:rsidRPr="007C44FF">
        <w:rPr>
          <w:rFonts w:ascii="Tahoma" w:hAnsi="Tahoma" w:cs="Tahoma"/>
          <w:sz w:val="22"/>
          <w:szCs w:val="22"/>
        </w:rPr>
        <w:t xml:space="preserve"> (πριν την τροποποίησή τους) βρήκαν δε ανταπόκριση στη νομολογία και ειδικότερα στην υπόθεση </w:t>
      </w:r>
      <w:r w:rsidRPr="00711733">
        <w:rPr>
          <w:rFonts w:ascii="Tahoma" w:hAnsi="Tahoma" w:cs="Tahoma"/>
          <w:sz w:val="22"/>
          <w:szCs w:val="22"/>
          <w:lang w:val="en-US"/>
        </w:rPr>
        <w:t>benzene</w:t>
      </w:r>
      <w:r w:rsidRPr="007C44FF">
        <w:rPr>
          <w:rFonts w:ascii="Tahoma" w:hAnsi="Tahoma" w:cs="Tahoma"/>
          <w:sz w:val="22"/>
          <w:szCs w:val="22"/>
        </w:rPr>
        <w:t xml:space="preserve">, που αποτέλεσε </w:t>
      </w:r>
      <w:r w:rsidRPr="007C44FF">
        <w:rPr>
          <w:rFonts w:ascii="Tahoma" w:hAnsi="Tahoma" w:cs="Tahoma"/>
          <w:sz w:val="22"/>
          <w:szCs w:val="22"/>
        </w:rPr>
        <w:lastRenderedPageBreak/>
        <w:t>την αφετηρία ώστε η επιστημονική εκτίμηση του κινδύνου να αποτελεί την απαραίτητη προϋπόθεση για τη διαχείρισή του</w:t>
      </w:r>
      <w:r w:rsidRPr="007C44FF">
        <w:rPr>
          <w:rStyle w:val="FootnoteReference"/>
          <w:rFonts w:ascii="Tahoma" w:hAnsi="Tahoma" w:cs="Tahoma"/>
          <w:sz w:val="22"/>
          <w:szCs w:val="22"/>
        </w:rPr>
        <w:footnoteReference w:id="95"/>
      </w:r>
      <w:r w:rsidRPr="007C44FF">
        <w:rPr>
          <w:rFonts w:ascii="Tahoma" w:hAnsi="Tahoma" w:cs="Tahoma"/>
          <w:sz w:val="22"/>
          <w:szCs w:val="22"/>
        </w:rPr>
        <w:t>.</w:t>
      </w:r>
    </w:p>
    <w:p w:rsidR="00ED6DB8" w:rsidRDefault="00ED6DB8" w:rsidP="00ED6DB8">
      <w:pPr>
        <w:spacing w:line="360" w:lineRule="auto"/>
        <w:jc w:val="both"/>
        <w:rPr>
          <w:rFonts w:ascii="Tahoma" w:hAnsi="Tahoma" w:cs="Tahoma"/>
          <w:sz w:val="22"/>
          <w:szCs w:val="22"/>
        </w:rPr>
      </w:pPr>
      <w:r w:rsidRPr="007C44FF">
        <w:rPr>
          <w:rFonts w:ascii="Tahoma" w:hAnsi="Tahoma" w:cs="Tahoma"/>
          <w:sz w:val="22"/>
          <w:szCs w:val="22"/>
        </w:rPr>
        <w:t xml:space="preserve">         Σε ό,τι αφορά στην κριτική κατά της προσέγγισης με βάση τον κίνδυνο, αυτή θεωρεί ότι η παραπάνω προσέγγιση δεν συμβάλλει στην προστασία του περιβάλλοντος και της υγείας του ανθρώπου</w:t>
      </w:r>
      <w:r w:rsidRPr="007C44FF">
        <w:rPr>
          <w:rStyle w:val="FootnoteReference"/>
          <w:rFonts w:ascii="Tahoma" w:hAnsi="Tahoma" w:cs="Tahoma"/>
          <w:sz w:val="22"/>
          <w:szCs w:val="22"/>
        </w:rPr>
        <w:footnoteReference w:id="96"/>
      </w:r>
      <w:r w:rsidRPr="007C44FF">
        <w:rPr>
          <w:rFonts w:ascii="Tahoma" w:hAnsi="Tahoma" w:cs="Tahoma"/>
          <w:sz w:val="22"/>
          <w:szCs w:val="22"/>
        </w:rPr>
        <w:t xml:space="preserve">. Η εστίασή της στην ποσοτική εκτίμηση του </w:t>
      </w:r>
      <w:r>
        <w:rPr>
          <w:rFonts w:ascii="Tahoma" w:hAnsi="Tahoma" w:cs="Tahoma"/>
          <w:sz w:val="22"/>
          <w:szCs w:val="22"/>
        </w:rPr>
        <w:t>‘</w:t>
      </w:r>
      <w:r w:rsidRPr="007C44FF">
        <w:rPr>
          <w:rFonts w:ascii="Tahoma" w:hAnsi="Tahoma" w:cs="Tahoma"/>
          <w:sz w:val="22"/>
          <w:szCs w:val="22"/>
        </w:rPr>
        <w:t>‘ασφαλούς</w:t>
      </w:r>
      <w:r>
        <w:rPr>
          <w:rFonts w:ascii="Tahoma" w:hAnsi="Tahoma" w:cs="Tahoma"/>
          <w:sz w:val="22"/>
          <w:szCs w:val="22"/>
        </w:rPr>
        <w:t>’</w:t>
      </w:r>
      <w:r w:rsidRPr="007C44FF">
        <w:rPr>
          <w:rFonts w:ascii="Tahoma" w:hAnsi="Tahoma" w:cs="Tahoma"/>
          <w:sz w:val="22"/>
          <w:szCs w:val="22"/>
        </w:rPr>
        <w:t>’ επιπέδου προστασίας είναι, σύμφωνα με τους υποστηρικτές της εν λόγω κριτικής, αποπροσανατολιστική διότι είναι αδύνατο να οριστεί με ποσοτικούς όρους το ασφαλές επίπεδο εξ αιτίας της επιχωριάζουσας επιστημονικής αβεβαιότητας</w:t>
      </w:r>
      <w:r w:rsidRPr="007C44FF">
        <w:rPr>
          <w:rStyle w:val="FootnoteReference"/>
          <w:rFonts w:ascii="Tahoma" w:hAnsi="Tahoma" w:cs="Tahoma"/>
          <w:sz w:val="22"/>
          <w:szCs w:val="22"/>
        </w:rPr>
        <w:footnoteReference w:id="97"/>
      </w:r>
      <w:r w:rsidRPr="007C44FF">
        <w:rPr>
          <w:rFonts w:ascii="Tahoma" w:hAnsi="Tahoma" w:cs="Tahoma"/>
          <w:sz w:val="22"/>
          <w:szCs w:val="22"/>
        </w:rPr>
        <w:t xml:space="preserve">. Άλλωστε, αυτή η αδυναμία οδήγησε να μην υποβληθούν σε ρύθμιση επικίνδυνοι ρύποι. Ενδεικτικές είναι οι περιπτώσεις των νόμων  </w:t>
      </w:r>
      <w:r w:rsidRPr="007C44FF">
        <w:rPr>
          <w:rFonts w:ascii="Tahoma" w:hAnsi="Tahoma" w:cs="Tahoma"/>
          <w:sz w:val="22"/>
          <w:szCs w:val="22"/>
          <w:lang w:val="en-GB"/>
        </w:rPr>
        <w:t>Clean</w:t>
      </w:r>
      <w:r w:rsidRPr="007C44FF">
        <w:rPr>
          <w:rFonts w:ascii="Tahoma" w:hAnsi="Tahoma" w:cs="Tahoma"/>
          <w:sz w:val="22"/>
          <w:szCs w:val="22"/>
        </w:rPr>
        <w:t xml:space="preserve"> </w:t>
      </w:r>
      <w:r w:rsidRPr="007C44FF">
        <w:rPr>
          <w:rFonts w:ascii="Tahoma" w:hAnsi="Tahoma" w:cs="Tahoma"/>
          <w:sz w:val="22"/>
          <w:szCs w:val="22"/>
          <w:lang w:val="en-GB"/>
        </w:rPr>
        <w:t>Water</w:t>
      </w:r>
      <w:r w:rsidRPr="007C44FF">
        <w:rPr>
          <w:rFonts w:ascii="Tahoma" w:hAnsi="Tahoma" w:cs="Tahoma"/>
          <w:sz w:val="22"/>
          <w:szCs w:val="22"/>
        </w:rPr>
        <w:t xml:space="preserve"> </w:t>
      </w:r>
      <w:r w:rsidRPr="007C44FF">
        <w:rPr>
          <w:rFonts w:ascii="Tahoma" w:hAnsi="Tahoma" w:cs="Tahoma"/>
          <w:sz w:val="22"/>
          <w:szCs w:val="22"/>
          <w:lang w:val="en-GB"/>
        </w:rPr>
        <w:t>Act</w:t>
      </w:r>
      <w:r w:rsidRPr="007C44FF">
        <w:rPr>
          <w:rFonts w:ascii="Tahoma" w:hAnsi="Tahoma" w:cs="Tahoma"/>
          <w:sz w:val="22"/>
          <w:szCs w:val="22"/>
        </w:rPr>
        <w:t xml:space="preserve"> και </w:t>
      </w:r>
      <w:r w:rsidRPr="007C44FF">
        <w:rPr>
          <w:rFonts w:ascii="Tahoma" w:hAnsi="Tahoma" w:cs="Tahoma"/>
          <w:sz w:val="22"/>
          <w:szCs w:val="22"/>
          <w:lang w:val="en-GB"/>
        </w:rPr>
        <w:t>Clean</w:t>
      </w:r>
      <w:r w:rsidRPr="007C44FF">
        <w:rPr>
          <w:rFonts w:ascii="Tahoma" w:hAnsi="Tahoma" w:cs="Tahoma"/>
          <w:sz w:val="22"/>
          <w:szCs w:val="22"/>
        </w:rPr>
        <w:t xml:space="preserve"> </w:t>
      </w:r>
      <w:r w:rsidRPr="007C44FF">
        <w:rPr>
          <w:rFonts w:ascii="Tahoma" w:hAnsi="Tahoma" w:cs="Tahoma"/>
          <w:sz w:val="22"/>
          <w:szCs w:val="22"/>
          <w:lang w:val="en-GB"/>
        </w:rPr>
        <w:t>Air</w:t>
      </w:r>
      <w:r w:rsidRPr="007C44FF">
        <w:rPr>
          <w:rFonts w:ascii="Tahoma" w:hAnsi="Tahoma" w:cs="Tahoma"/>
          <w:sz w:val="22"/>
          <w:szCs w:val="22"/>
        </w:rPr>
        <w:t xml:space="preserve"> </w:t>
      </w:r>
      <w:r w:rsidRPr="007C44FF">
        <w:rPr>
          <w:rFonts w:ascii="Tahoma" w:hAnsi="Tahoma" w:cs="Tahoma"/>
          <w:sz w:val="22"/>
          <w:szCs w:val="22"/>
          <w:lang w:val="en-GB"/>
        </w:rPr>
        <w:t>Act</w:t>
      </w:r>
      <w:r w:rsidRPr="007C44FF">
        <w:rPr>
          <w:rFonts w:ascii="Tahoma" w:hAnsi="Tahoma" w:cs="Tahoma"/>
          <w:sz w:val="22"/>
          <w:szCs w:val="22"/>
        </w:rPr>
        <w:t xml:space="preserve"> πριν από την τροποποίησή τους.</w:t>
      </w:r>
    </w:p>
    <w:p w:rsidR="00ED6DB8" w:rsidRPr="007C44FF" w:rsidRDefault="00ED6DB8" w:rsidP="00ED6DB8">
      <w:p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 xml:space="preserve"> Στη διαχείριση του κινδύνου στις ΗΠΑ, όπως τονίσαμε ήδη,  χρησιμοποιούνται και τα δύο κανονιστικά εργαλεία. Οι αρμόδιες αρχές  προκειμένου να προβούν σε ρυθμίσεις, άλλοτε υιοθετούν την αντίληψη του αποδεκτού κινδύνου νοούμενου ως του σημαντικού κινδύνου, ο οποίος προκύπτει με ποσοτικούς όρους (π.χ., ένας θάνατος στο ένα εκατομμύριο). Και άλλοτε υιοθετούν την αντίληψη της προστασίας του περιβάλλοντος και της υγείας του ανθρώπου μέσω των βέλτιστων διαθέσιμων τεχνολογιών</w:t>
      </w:r>
      <w:r w:rsidRPr="007C44FF">
        <w:rPr>
          <w:rStyle w:val="FootnoteReference"/>
          <w:rFonts w:ascii="Tahoma" w:hAnsi="Tahoma" w:cs="Tahoma"/>
          <w:sz w:val="22"/>
          <w:szCs w:val="22"/>
        </w:rPr>
        <w:footnoteReference w:id="98"/>
      </w:r>
      <w:r w:rsidRPr="007C44FF">
        <w:rPr>
          <w:rFonts w:ascii="Tahoma" w:hAnsi="Tahoma" w:cs="Tahoma"/>
          <w:sz w:val="22"/>
          <w:szCs w:val="22"/>
        </w:rPr>
        <w:t xml:space="preserve">.  Η τελευταία άρχισε, λόγω των θετικών αποτελεσμάτων </w:t>
      </w:r>
      <w:r>
        <w:rPr>
          <w:rFonts w:ascii="Tahoma" w:hAnsi="Tahoma" w:cs="Tahoma"/>
          <w:sz w:val="22"/>
          <w:szCs w:val="22"/>
        </w:rPr>
        <w:t>της στον έλεγχο της ρύπανσης</w:t>
      </w:r>
      <w:r>
        <w:rPr>
          <w:rStyle w:val="FootnoteReference"/>
          <w:rFonts w:ascii="Tahoma" w:hAnsi="Tahoma" w:cs="Tahoma"/>
          <w:sz w:val="22"/>
          <w:szCs w:val="22"/>
        </w:rPr>
        <w:footnoteReference w:id="99"/>
      </w:r>
      <w:r w:rsidRPr="007C44FF">
        <w:rPr>
          <w:rFonts w:ascii="Tahoma" w:hAnsi="Tahoma" w:cs="Tahoma"/>
          <w:sz w:val="22"/>
          <w:szCs w:val="22"/>
        </w:rPr>
        <w:t xml:space="preserve">, να κυριαρχεί προοδευτικά, σε τέτοιο βαθμό μάλιστα ώστε να γίνεται λόγος για </w:t>
      </w:r>
      <w:r>
        <w:rPr>
          <w:rFonts w:ascii="Tahoma" w:hAnsi="Tahoma" w:cs="Tahoma"/>
          <w:sz w:val="22"/>
          <w:szCs w:val="22"/>
        </w:rPr>
        <w:t>‘</w:t>
      </w:r>
      <w:r w:rsidRPr="007C44FF">
        <w:rPr>
          <w:rFonts w:ascii="Tahoma" w:hAnsi="Tahoma" w:cs="Tahoma"/>
          <w:sz w:val="22"/>
          <w:szCs w:val="22"/>
        </w:rPr>
        <w:t xml:space="preserve">‘θρίαμβο των </w:t>
      </w:r>
      <w:r w:rsidRPr="007C44FF">
        <w:rPr>
          <w:rFonts w:ascii="Tahoma" w:hAnsi="Tahoma" w:cs="Tahoma"/>
          <w:sz w:val="22"/>
          <w:szCs w:val="22"/>
          <w:lang w:val="en-GB"/>
        </w:rPr>
        <w:t>standards</w:t>
      </w:r>
      <w:r w:rsidRPr="007C44FF">
        <w:rPr>
          <w:rFonts w:ascii="Tahoma" w:hAnsi="Tahoma" w:cs="Tahoma"/>
          <w:sz w:val="22"/>
          <w:szCs w:val="22"/>
        </w:rPr>
        <w:t xml:space="preserve"> με βάση την τεχνολογία</w:t>
      </w:r>
      <w:r w:rsidRPr="0027468F">
        <w:rPr>
          <w:rFonts w:ascii="Tahoma" w:hAnsi="Tahoma" w:cs="Tahoma"/>
          <w:sz w:val="22"/>
          <w:szCs w:val="22"/>
        </w:rPr>
        <w:t>’’</w:t>
      </w:r>
      <w:r w:rsidRPr="007C44FF">
        <w:rPr>
          <w:rStyle w:val="FootnoteReference"/>
          <w:rFonts w:ascii="Tahoma" w:hAnsi="Tahoma" w:cs="Tahoma"/>
          <w:sz w:val="22"/>
          <w:szCs w:val="22"/>
        </w:rPr>
        <w:footnoteReference w:id="100"/>
      </w:r>
      <w:r w:rsidRPr="007C44FF">
        <w:rPr>
          <w:rFonts w:ascii="Tahoma" w:hAnsi="Tahoma" w:cs="Tahoma"/>
          <w:sz w:val="22"/>
          <w:szCs w:val="22"/>
        </w:rPr>
        <w:t>. Δεδομένης δε της επιστημονικής αβεβαιότητας σχετικά με τους κινδύνους για το περιβάλλον και την υγεία του ανθρώπου, η παραπάνω προσέγγιση με βάση την τεχνολογία θεωρείται ως το κατεξοχήν εργαλείο εφαρμογής της προφυλακτικής αντίληψης για τη διαχείριση των περιβαλλοντικών κινδύνων</w:t>
      </w:r>
      <w:r w:rsidRPr="007C44FF">
        <w:rPr>
          <w:rStyle w:val="FootnoteReference"/>
          <w:rFonts w:ascii="Tahoma" w:hAnsi="Tahoma" w:cs="Tahoma"/>
          <w:sz w:val="22"/>
          <w:szCs w:val="22"/>
        </w:rPr>
        <w:footnoteReference w:id="101"/>
      </w:r>
      <w:r w:rsidRPr="007C44FF">
        <w:rPr>
          <w:rFonts w:ascii="Tahoma" w:hAnsi="Tahoma" w:cs="Tahoma"/>
          <w:sz w:val="22"/>
          <w:szCs w:val="22"/>
        </w:rPr>
        <w:t xml:space="preserve">. Με άλλες λέξεις, στηρίζεται στην κοινή λογική ότι η σοβαρότητα και η μη προβλεψιμότητα των περιβαλλοντικών κινδύνων αρκούν </w:t>
      </w:r>
      <w:r w:rsidRPr="007C44FF">
        <w:rPr>
          <w:rFonts w:ascii="Tahoma" w:hAnsi="Tahoma" w:cs="Tahoma"/>
          <w:sz w:val="22"/>
          <w:szCs w:val="22"/>
        </w:rPr>
        <w:lastRenderedPageBreak/>
        <w:t xml:space="preserve">ώστε να </w:t>
      </w:r>
      <w:r>
        <w:rPr>
          <w:rFonts w:ascii="Tahoma" w:hAnsi="Tahoma" w:cs="Tahoma"/>
          <w:sz w:val="22"/>
          <w:szCs w:val="22"/>
        </w:rPr>
        <w:t>‘</w:t>
      </w:r>
      <w:r w:rsidRPr="007C44FF">
        <w:rPr>
          <w:rFonts w:ascii="Tahoma" w:hAnsi="Tahoma" w:cs="Tahoma"/>
          <w:sz w:val="22"/>
          <w:szCs w:val="22"/>
        </w:rPr>
        <w:t>‘κάνουμε το καλύτερο δυνατό</w:t>
      </w:r>
      <w:r>
        <w:rPr>
          <w:rFonts w:ascii="Tahoma" w:hAnsi="Tahoma" w:cs="Tahoma"/>
          <w:sz w:val="22"/>
          <w:szCs w:val="22"/>
        </w:rPr>
        <w:t>’</w:t>
      </w:r>
      <w:r w:rsidRPr="007C44FF">
        <w:rPr>
          <w:rFonts w:ascii="Tahoma" w:hAnsi="Tahoma" w:cs="Tahoma"/>
          <w:sz w:val="22"/>
          <w:szCs w:val="22"/>
        </w:rPr>
        <w:t>’ για να τους μειώσουμε ή να τους αποτρέψουμε, χωρίς να αναμένουμε την επιστήμη να μας παράσχει τις πληροφορίες, κάτι άλλωστε ανέφικτο λόγω του πολύπλοκου χαρακτήρα τους</w:t>
      </w:r>
      <w:r w:rsidRPr="007C44FF">
        <w:rPr>
          <w:rStyle w:val="FootnoteReference"/>
          <w:rFonts w:ascii="Tahoma" w:hAnsi="Tahoma" w:cs="Tahoma"/>
          <w:sz w:val="22"/>
          <w:szCs w:val="22"/>
        </w:rPr>
        <w:footnoteReference w:id="102"/>
      </w:r>
      <w:r w:rsidRPr="007C44FF">
        <w:rPr>
          <w:rFonts w:ascii="Tahoma" w:hAnsi="Tahoma" w:cs="Tahoma"/>
          <w:sz w:val="22"/>
          <w:szCs w:val="22"/>
        </w:rPr>
        <w:t xml:space="preserve">.  </w:t>
      </w:r>
    </w:p>
    <w:p w:rsidR="00ED6DB8" w:rsidRPr="007C44FF" w:rsidRDefault="00ED6DB8" w:rsidP="00ED6DB8">
      <w:pPr>
        <w:pStyle w:val="FootnoteText"/>
        <w:spacing w:line="360" w:lineRule="auto"/>
        <w:jc w:val="both"/>
        <w:rPr>
          <w:rFonts w:ascii="Tahoma" w:hAnsi="Tahoma" w:cs="Tahoma"/>
          <w:sz w:val="22"/>
          <w:szCs w:val="22"/>
        </w:rPr>
      </w:pPr>
      <w:r w:rsidRPr="007C44FF">
        <w:rPr>
          <w:rFonts w:ascii="Tahoma" w:hAnsi="Tahoma" w:cs="Tahoma"/>
          <w:sz w:val="22"/>
          <w:szCs w:val="22"/>
        </w:rPr>
        <w:t xml:space="preserve">       Από τις παραπάνω αναφορές μας για το ρυθμιστικό πλαίσιο της ανάλυσης του κινδύνου στην Ε.Ε. και στις ΗΠΑ, προκύπτει ότι υπάρχουν σημεία αποκλίσεων και συγκλίσεων μεταξύ τους. Η απόκλιση εντοπίζεται κατ’ αρχάς στη διοικητική δομή της λήψης των αποφάσεων. Στις ΗΠΑ είναι περισσότερο αποκεντρωμένη </w:t>
      </w:r>
      <w:r>
        <w:rPr>
          <w:rFonts w:ascii="Tahoma" w:hAnsi="Tahoma" w:cs="Tahoma"/>
          <w:sz w:val="22"/>
          <w:szCs w:val="22"/>
        </w:rPr>
        <w:t>σε σχέση με</w:t>
      </w:r>
      <w:r w:rsidRPr="007C44FF">
        <w:rPr>
          <w:rFonts w:ascii="Tahoma" w:hAnsi="Tahoma" w:cs="Tahoma"/>
          <w:sz w:val="22"/>
          <w:szCs w:val="22"/>
        </w:rPr>
        <w:t xml:space="preserve"> αυτή της Ε.Ε. Οι αρμοδιότητες ασκούνται από πολλές ομοσπονδιακές αρχές, από διάφορες επιτροπές και από τα δικαστήρια, ενώ στην Ε.Ε. η διοικητική δομή είναι περισσότερο συγκεντρωτική, ιεραρχική και συνεργατική</w:t>
      </w:r>
      <w:r w:rsidRPr="007C44FF">
        <w:rPr>
          <w:rStyle w:val="FootnoteReference"/>
          <w:rFonts w:ascii="Tahoma" w:hAnsi="Tahoma" w:cs="Tahoma"/>
          <w:sz w:val="22"/>
          <w:szCs w:val="22"/>
        </w:rPr>
        <w:footnoteReference w:id="103"/>
      </w:r>
      <w:r w:rsidRPr="007C44FF">
        <w:rPr>
          <w:rFonts w:ascii="Tahoma" w:hAnsi="Tahoma" w:cs="Tahoma"/>
          <w:sz w:val="22"/>
          <w:szCs w:val="22"/>
        </w:rPr>
        <w:t>. Περαιτέρω, παρατηρούμε μια σχετική διαφοροποίηση σε ό,τι αφορά στην προφυλακτική προσέγγιση ως τη βάση διαχείρισης του κινδύνου στις δύο πλευρές του Ατλαντικού. Στην Ε.Ε. η αρχή της προφύλαξης είναι πλήρως ενταγμένη στο νομικο-πολιτικό της σύστημα, καθώς αποτελεί γενική αρχή του κοινοτικού δικαίου</w:t>
      </w:r>
      <w:r w:rsidRPr="007C44FF">
        <w:rPr>
          <w:rStyle w:val="FootnoteReference"/>
          <w:rFonts w:ascii="Tahoma" w:hAnsi="Tahoma" w:cs="Tahoma"/>
          <w:sz w:val="22"/>
          <w:szCs w:val="22"/>
        </w:rPr>
        <w:footnoteReference w:id="104"/>
      </w:r>
      <w:r w:rsidRPr="007C44FF">
        <w:rPr>
          <w:rFonts w:ascii="Tahoma" w:hAnsi="Tahoma" w:cs="Tahoma"/>
          <w:sz w:val="22"/>
          <w:szCs w:val="22"/>
        </w:rPr>
        <w:t>. Αντίθετα, στις ΗΠΑ η αρχή της προφύλαξης δεν είναι συστηματικά ενσωματωμένη</w:t>
      </w:r>
      <w:r w:rsidRPr="007C44FF">
        <w:rPr>
          <w:rStyle w:val="FootnoteReference"/>
          <w:rFonts w:ascii="Tahoma" w:hAnsi="Tahoma" w:cs="Tahoma"/>
          <w:sz w:val="22"/>
          <w:szCs w:val="22"/>
        </w:rPr>
        <w:footnoteReference w:id="105"/>
      </w:r>
      <w:r w:rsidRPr="007C44FF">
        <w:rPr>
          <w:rFonts w:ascii="Tahoma" w:hAnsi="Tahoma" w:cs="Tahoma"/>
          <w:sz w:val="22"/>
          <w:szCs w:val="22"/>
        </w:rPr>
        <w:t>, καθώς στοιχεία της εντοπίζονται με τρόπο διάσπαρτο και αποσπασματικό.</w:t>
      </w:r>
      <w:r w:rsidRPr="007C44FF">
        <w:rPr>
          <w:rStyle w:val="FootnoteReference"/>
          <w:rFonts w:ascii="Tahoma" w:hAnsi="Tahoma" w:cs="Tahoma"/>
          <w:sz w:val="22"/>
          <w:szCs w:val="22"/>
        </w:rPr>
        <w:footnoteReference w:id="106"/>
      </w:r>
      <w:r w:rsidRPr="007C44FF">
        <w:rPr>
          <w:rFonts w:ascii="Tahoma" w:hAnsi="Tahoma" w:cs="Tahoma"/>
          <w:sz w:val="22"/>
          <w:szCs w:val="22"/>
        </w:rPr>
        <w:t xml:space="preserve"> Γι’ αυτό το λόγο η προφύλαξη στις Η.Π.Α. θεωρείται περισσότερο κατεύθυνση και λιγότερο αρχή</w:t>
      </w:r>
      <w:r w:rsidRPr="007C44FF">
        <w:rPr>
          <w:rStyle w:val="FootnoteReference"/>
          <w:rFonts w:ascii="Tahoma" w:hAnsi="Tahoma" w:cs="Tahoma"/>
          <w:sz w:val="22"/>
          <w:szCs w:val="22"/>
        </w:rPr>
        <w:footnoteReference w:id="107"/>
      </w:r>
      <w:r w:rsidRPr="007C44FF">
        <w:rPr>
          <w:rFonts w:ascii="Tahoma" w:hAnsi="Tahoma" w:cs="Tahoma"/>
          <w:sz w:val="22"/>
          <w:szCs w:val="22"/>
        </w:rPr>
        <w:t xml:space="preserve">. </w:t>
      </w:r>
    </w:p>
    <w:p w:rsidR="00ED6DB8" w:rsidRPr="007C44FF" w:rsidRDefault="00ED6DB8" w:rsidP="00ED6DB8">
      <w:pPr>
        <w:pStyle w:val="FootnoteText"/>
        <w:spacing w:line="360" w:lineRule="auto"/>
        <w:jc w:val="both"/>
        <w:rPr>
          <w:rFonts w:ascii="Tahoma" w:hAnsi="Tahoma" w:cs="Tahoma"/>
          <w:sz w:val="22"/>
          <w:szCs w:val="22"/>
        </w:rPr>
      </w:pPr>
      <w:r w:rsidRPr="007C44FF">
        <w:rPr>
          <w:rFonts w:ascii="Tahoma" w:hAnsi="Tahoma" w:cs="Tahoma"/>
          <w:sz w:val="22"/>
          <w:szCs w:val="22"/>
        </w:rPr>
        <w:t xml:space="preserve">         Από την άλλη πλευρά, το βασικό σημείο σύγκλισης των δύο νομικο-πολιτικών συστημάτων είναι η κοινή παραδοχή ότι η επιστημονική γνώση δεν είναι αρκετή για την αντιμετώπιση των περιβαλλοντικών κινδύνων. Στις ΗΠΑ, ο καθορισμός των  </w:t>
      </w:r>
      <w:r w:rsidRPr="007C44FF">
        <w:rPr>
          <w:rFonts w:ascii="Tahoma" w:hAnsi="Tahoma" w:cs="Tahoma"/>
          <w:sz w:val="22"/>
          <w:szCs w:val="22"/>
          <w:lang w:val="en-US"/>
        </w:rPr>
        <w:t>standards</w:t>
      </w:r>
      <w:r w:rsidRPr="007C44FF">
        <w:rPr>
          <w:rFonts w:ascii="Tahoma" w:hAnsi="Tahoma" w:cs="Tahoma"/>
          <w:sz w:val="22"/>
          <w:szCs w:val="22"/>
        </w:rPr>
        <w:t xml:space="preserve"> τα οποία είναι απαραίτητα για τη προστασία της υγείας</w:t>
      </w:r>
      <w:r>
        <w:rPr>
          <w:rFonts w:ascii="Tahoma" w:hAnsi="Tahoma" w:cs="Tahoma"/>
          <w:sz w:val="22"/>
          <w:szCs w:val="22"/>
        </w:rPr>
        <w:t xml:space="preserve"> του ανθρώπου</w:t>
      </w:r>
      <w:r w:rsidRPr="007C44FF">
        <w:rPr>
          <w:rFonts w:ascii="Tahoma" w:hAnsi="Tahoma" w:cs="Tahoma"/>
          <w:sz w:val="22"/>
          <w:szCs w:val="22"/>
        </w:rPr>
        <w:t xml:space="preserve"> και του περιβάλλοντος δεν στηρίζεται</w:t>
      </w:r>
      <w:r>
        <w:rPr>
          <w:rFonts w:ascii="Tahoma" w:hAnsi="Tahoma" w:cs="Tahoma"/>
          <w:sz w:val="22"/>
          <w:szCs w:val="22"/>
        </w:rPr>
        <w:t xml:space="preserve"> τόσο</w:t>
      </w:r>
      <w:r w:rsidRPr="007C44FF">
        <w:rPr>
          <w:rFonts w:ascii="Tahoma" w:hAnsi="Tahoma" w:cs="Tahoma"/>
          <w:sz w:val="22"/>
          <w:szCs w:val="22"/>
        </w:rPr>
        <w:t xml:space="preserve"> στην επιστημονική γνώση</w:t>
      </w:r>
      <w:r>
        <w:rPr>
          <w:rFonts w:ascii="Tahoma" w:hAnsi="Tahoma" w:cs="Tahoma"/>
          <w:sz w:val="22"/>
          <w:szCs w:val="22"/>
        </w:rPr>
        <w:t xml:space="preserve"> σχετικά με την ύπαρξη κινδύνων</w:t>
      </w:r>
      <w:r w:rsidRPr="007C44FF">
        <w:rPr>
          <w:rFonts w:ascii="Tahoma" w:hAnsi="Tahoma" w:cs="Tahoma"/>
          <w:sz w:val="22"/>
          <w:szCs w:val="22"/>
        </w:rPr>
        <w:t xml:space="preserve"> </w:t>
      </w:r>
      <w:r>
        <w:rPr>
          <w:rFonts w:ascii="Tahoma" w:hAnsi="Tahoma" w:cs="Tahoma"/>
          <w:sz w:val="22"/>
          <w:szCs w:val="22"/>
        </w:rPr>
        <w:t>όσο –και κυρίως-</w:t>
      </w:r>
      <w:r w:rsidRPr="007C44FF">
        <w:rPr>
          <w:rFonts w:ascii="Tahoma" w:hAnsi="Tahoma" w:cs="Tahoma"/>
          <w:sz w:val="22"/>
          <w:szCs w:val="22"/>
        </w:rPr>
        <w:t xml:space="preserve"> στους διαθέσιμους τεχνολογικούς ελέγχους</w:t>
      </w:r>
      <w:r>
        <w:rPr>
          <w:rFonts w:ascii="Tahoma" w:hAnsi="Tahoma" w:cs="Tahoma"/>
          <w:sz w:val="22"/>
          <w:szCs w:val="22"/>
        </w:rPr>
        <w:t xml:space="preserve"> για τη μείωση ή την αποφυγή τους</w:t>
      </w:r>
      <w:r w:rsidRPr="007C44FF">
        <w:rPr>
          <w:rStyle w:val="FootnoteReference"/>
          <w:rFonts w:ascii="Tahoma" w:hAnsi="Tahoma" w:cs="Tahoma"/>
          <w:sz w:val="22"/>
          <w:szCs w:val="22"/>
        </w:rPr>
        <w:footnoteReference w:id="108"/>
      </w:r>
      <w:r w:rsidRPr="007C44FF">
        <w:rPr>
          <w:rFonts w:ascii="Tahoma" w:hAnsi="Tahoma" w:cs="Tahoma"/>
          <w:sz w:val="22"/>
          <w:szCs w:val="22"/>
        </w:rPr>
        <w:t xml:space="preserve">. Στην Ε.Ε. ο καθορισμός των  </w:t>
      </w:r>
      <w:r w:rsidRPr="007C44FF">
        <w:rPr>
          <w:rFonts w:ascii="Tahoma" w:hAnsi="Tahoma" w:cs="Tahoma"/>
          <w:sz w:val="22"/>
          <w:szCs w:val="22"/>
          <w:lang w:val="en-US"/>
        </w:rPr>
        <w:t>standards</w:t>
      </w:r>
      <w:r w:rsidRPr="007C44FF">
        <w:rPr>
          <w:rFonts w:ascii="Tahoma" w:hAnsi="Tahoma" w:cs="Tahoma"/>
          <w:sz w:val="22"/>
          <w:szCs w:val="22"/>
        </w:rPr>
        <w:t xml:space="preserve"> στηρίζεται μεν στις </w:t>
      </w:r>
      <w:r>
        <w:rPr>
          <w:rFonts w:ascii="Tahoma" w:hAnsi="Tahoma" w:cs="Tahoma"/>
          <w:sz w:val="22"/>
          <w:szCs w:val="22"/>
        </w:rPr>
        <w:t>‘</w:t>
      </w:r>
      <w:r w:rsidRPr="007C44FF">
        <w:rPr>
          <w:rFonts w:ascii="Tahoma" w:hAnsi="Tahoma" w:cs="Tahoma"/>
          <w:sz w:val="22"/>
          <w:szCs w:val="22"/>
        </w:rPr>
        <w:t>‘βέλτιστες διαθέσιμες τεχνολογίες</w:t>
      </w:r>
      <w:r>
        <w:rPr>
          <w:rFonts w:ascii="Tahoma" w:hAnsi="Tahoma" w:cs="Tahoma"/>
          <w:sz w:val="22"/>
          <w:szCs w:val="22"/>
        </w:rPr>
        <w:t>’</w:t>
      </w:r>
      <w:r w:rsidRPr="007C44FF">
        <w:rPr>
          <w:rFonts w:ascii="Tahoma" w:hAnsi="Tahoma" w:cs="Tahoma"/>
          <w:sz w:val="22"/>
          <w:szCs w:val="22"/>
        </w:rPr>
        <w:t xml:space="preserve">’ σε μικρότερο όμως βαθμό από ότι στις </w:t>
      </w:r>
      <w:r w:rsidRPr="007C44FF">
        <w:rPr>
          <w:rFonts w:ascii="Tahoma" w:hAnsi="Tahoma" w:cs="Tahoma"/>
          <w:sz w:val="22"/>
          <w:szCs w:val="22"/>
        </w:rPr>
        <w:lastRenderedPageBreak/>
        <w:t>ΗΠΑ</w:t>
      </w:r>
      <w:r w:rsidRPr="007C44FF">
        <w:rPr>
          <w:rStyle w:val="FootnoteReference"/>
          <w:rFonts w:ascii="Tahoma" w:hAnsi="Tahoma" w:cs="Tahoma"/>
          <w:sz w:val="22"/>
          <w:szCs w:val="22"/>
        </w:rPr>
        <w:footnoteReference w:id="109"/>
      </w:r>
      <w:r w:rsidRPr="007C44FF">
        <w:rPr>
          <w:rFonts w:ascii="Tahoma" w:hAnsi="Tahoma" w:cs="Tahoma"/>
          <w:sz w:val="22"/>
          <w:szCs w:val="22"/>
        </w:rPr>
        <w:t xml:space="preserve">. </w:t>
      </w:r>
      <w:r>
        <w:rPr>
          <w:rFonts w:ascii="Tahoma" w:hAnsi="Tahoma" w:cs="Tahoma"/>
          <w:sz w:val="22"/>
          <w:szCs w:val="22"/>
        </w:rPr>
        <w:t>Ωστόσο, η απαίτηση για χρήση των</w:t>
      </w:r>
      <w:r w:rsidRPr="007C44FF">
        <w:rPr>
          <w:rFonts w:ascii="Tahoma" w:hAnsi="Tahoma" w:cs="Tahoma"/>
          <w:sz w:val="22"/>
          <w:szCs w:val="22"/>
        </w:rPr>
        <w:t xml:space="preserve"> </w:t>
      </w:r>
      <w:r>
        <w:rPr>
          <w:rFonts w:ascii="Tahoma" w:hAnsi="Tahoma" w:cs="Tahoma"/>
          <w:sz w:val="22"/>
          <w:szCs w:val="22"/>
        </w:rPr>
        <w:t>‘‘βέλτιστων διαθέσιμων τεχνολογιών’</w:t>
      </w:r>
      <w:r w:rsidRPr="007C44FF">
        <w:rPr>
          <w:rFonts w:ascii="Tahoma" w:hAnsi="Tahoma" w:cs="Tahoma"/>
          <w:sz w:val="22"/>
          <w:szCs w:val="22"/>
        </w:rPr>
        <w:t>’</w:t>
      </w:r>
      <w:r>
        <w:rPr>
          <w:rFonts w:ascii="Tahoma" w:hAnsi="Tahoma" w:cs="Tahoma"/>
          <w:sz w:val="22"/>
          <w:szCs w:val="22"/>
        </w:rPr>
        <w:t xml:space="preserve"> [ΒΑΤ] είναι νομικά δεσμευτική ακόμη και όταν ο όγκος των ρυπαντικών εκπομπών δεν είναι σημαντικός</w:t>
      </w:r>
      <w:r>
        <w:rPr>
          <w:rStyle w:val="FootnoteReference"/>
          <w:rFonts w:ascii="Tahoma" w:hAnsi="Tahoma" w:cs="Tahoma"/>
          <w:sz w:val="22"/>
          <w:szCs w:val="22"/>
        </w:rPr>
        <w:footnoteReference w:id="110"/>
      </w:r>
      <w:r>
        <w:rPr>
          <w:rFonts w:ascii="Tahoma" w:hAnsi="Tahoma" w:cs="Tahoma"/>
          <w:sz w:val="22"/>
          <w:szCs w:val="22"/>
        </w:rPr>
        <w:t>.</w:t>
      </w:r>
    </w:p>
    <w:p w:rsidR="00ED6DB8" w:rsidRPr="007C44FF" w:rsidRDefault="00ED6DB8" w:rsidP="00ED6DB8">
      <w:pPr>
        <w:pStyle w:val="FootnoteText"/>
        <w:spacing w:line="360" w:lineRule="auto"/>
        <w:jc w:val="both"/>
        <w:rPr>
          <w:rFonts w:ascii="Tahoma" w:hAnsi="Tahoma" w:cs="Tahoma"/>
          <w:sz w:val="22"/>
          <w:szCs w:val="22"/>
        </w:rPr>
      </w:pPr>
      <w:r w:rsidRPr="007C44FF">
        <w:rPr>
          <w:rFonts w:ascii="Tahoma" w:hAnsi="Tahoma" w:cs="Tahoma"/>
          <w:sz w:val="22"/>
          <w:szCs w:val="22"/>
        </w:rPr>
        <w:t xml:space="preserve">        Ενώ τα κύρια στοιχεία της ανάλυσης του κινδύνου στα οποία αναφερθήκαμε, συνεχίζουν να αποτελούν το ισχύον νομοθετικό πλαίσιο, ωστόσο έχουν ξεκινήσει προσπάθειες μεταρρύθμισής του, αρχικά στις Η</w:t>
      </w:r>
      <w:r>
        <w:rPr>
          <w:rFonts w:ascii="Tahoma" w:hAnsi="Tahoma" w:cs="Tahoma"/>
          <w:sz w:val="22"/>
          <w:szCs w:val="22"/>
        </w:rPr>
        <w:t>.</w:t>
      </w:r>
      <w:r w:rsidRPr="007C44FF">
        <w:rPr>
          <w:rFonts w:ascii="Tahoma" w:hAnsi="Tahoma" w:cs="Tahoma"/>
          <w:sz w:val="22"/>
          <w:szCs w:val="22"/>
        </w:rPr>
        <w:t>Π</w:t>
      </w:r>
      <w:r>
        <w:rPr>
          <w:rFonts w:ascii="Tahoma" w:hAnsi="Tahoma" w:cs="Tahoma"/>
          <w:sz w:val="22"/>
          <w:szCs w:val="22"/>
        </w:rPr>
        <w:t>.</w:t>
      </w:r>
      <w:r w:rsidRPr="007C44FF">
        <w:rPr>
          <w:rFonts w:ascii="Tahoma" w:hAnsi="Tahoma" w:cs="Tahoma"/>
          <w:sz w:val="22"/>
          <w:szCs w:val="22"/>
        </w:rPr>
        <w:t>Α και ακολούθως στην Ε.Ε. Σ’ αυτές αναφερόμαστε αμέσως στη συνέχεια.</w:t>
      </w:r>
    </w:p>
    <w:p w:rsidR="007927CB" w:rsidRDefault="007927CB"/>
    <w:sectPr w:rsidR="007927CB" w:rsidSect="007927C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D0" w:rsidRDefault="00F45DD0" w:rsidP="00ED6DB8">
      <w:r>
        <w:separator/>
      </w:r>
    </w:p>
  </w:endnote>
  <w:endnote w:type="continuationSeparator" w:id="0">
    <w:p w:rsidR="00F45DD0" w:rsidRDefault="00F45DD0" w:rsidP="00ED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00407"/>
      <w:docPartObj>
        <w:docPartGallery w:val="Page Numbers (Bottom of Page)"/>
        <w:docPartUnique/>
      </w:docPartObj>
    </w:sdtPr>
    <w:sdtEndPr/>
    <w:sdtContent>
      <w:p w:rsidR="00ED6DB8" w:rsidRDefault="00CD27D5">
        <w:pPr>
          <w:pStyle w:val="Footer"/>
          <w:jc w:val="center"/>
        </w:pPr>
        <w:r>
          <w:fldChar w:fldCharType="begin"/>
        </w:r>
        <w:r>
          <w:instrText xml:space="preserve"> PAGE   \* MERGEFORMAT </w:instrText>
        </w:r>
        <w:r>
          <w:fldChar w:fldCharType="separate"/>
        </w:r>
        <w:r w:rsidR="006F653C">
          <w:rPr>
            <w:noProof/>
          </w:rPr>
          <w:t>2</w:t>
        </w:r>
        <w:r>
          <w:rPr>
            <w:noProof/>
          </w:rPr>
          <w:fldChar w:fldCharType="end"/>
        </w:r>
      </w:p>
    </w:sdtContent>
  </w:sdt>
  <w:p w:rsidR="00ED6DB8" w:rsidRDefault="00ED6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D0" w:rsidRDefault="00F45DD0" w:rsidP="00ED6DB8">
      <w:r>
        <w:separator/>
      </w:r>
    </w:p>
  </w:footnote>
  <w:footnote w:type="continuationSeparator" w:id="0">
    <w:p w:rsidR="00F45DD0" w:rsidRDefault="00F45DD0" w:rsidP="00ED6DB8">
      <w:r>
        <w:continuationSeparator/>
      </w:r>
    </w:p>
  </w:footnote>
  <w:footnote w:id="1">
    <w:p w:rsidR="00EE2E66" w:rsidRDefault="00EE2E66" w:rsidP="00EE2E66">
      <w:pPr>
        <w:pStyle w:val="FootnoteText"/>
        <w:jc w:val="both"/>
        <w:rPr>
          <w:rFonts w:ascii="Tahoma" w:hAnsi="Tahoma" w:cs="Tahoma"/>
        </w:rPr>
      </w:pPr>
      <w:r w:rsidRPr="007E6DD5">
        <w:rPr>
          <w:rFonts w:ascii="Tahoma" w:hAnsi="Tahoma" w:cs="Tahoma"/>
        </w:rPr>
        <w:t xml:space="preserve">*Το κείμενο </w:t>
      </w:r>
      <w:r>
        <w:rPr>
          <w:rFonts w:ascii="Tahoma" w:hAnsi="Tahoma" w:cs="Tahoma"/>
        </w:rPr>
        <w:t>περιλαμβάνει αποσπάσματα από το Δεύτερο Κεφάλαιο του Δευτέρου Μέρους του</w:t>
      </w:r>
      <w:r w:rsidRPr="007E6DD5">
        <w:rPr>
          <w:rFonts w:ascii="Tahoma" w:hAnsi="Tahoma" w:cs="Tahoma"/>
        </w:rPr>
        <w:t xml:space="preserve"> βιβλίο</w:t>
      </w:r>
      <w:r>
        <w:rPr>
          <w:rFonts w:ascii="Tahoma" w:hAnsi="Tahoma" w:cs="Tahoma"/>
        </w:rPr>
        <w:t>υ</w:t>
      </w:r>
      <w:r w:rsidRPr="007E6DD5">
        <w:rPr>
          <w:rFonts w:ascii="Tahoma" w:hAnsi="Tahoma" w:cs="Tahoma"/>
        </w:rPr>
        <w:t xml:space="preserve"> του Γιώργου Μπάλια, ΠΕΡΙΒΑΛΛΟΝΤΙΚΟΙ ΚΙΝΔΥΝΟΙ: ΔΙΑΠΛΟΚΗ ΕΠΙΣΤΗΜΗΣ, ΔΙΚΑΙΟΥ ΚΑΙ ΠΟΛΙΤΙΚΗΣ, εκδόσεις Αντ.Ν. Σάκκουλα, Αθήνα, 2009, σ.</w:t>
      </w:r>
      <w:r>
        <w:rPr>
          <w:rFonts w:ascii="Tahoma" w:hAnsi="Tahoma" w:cs="Tahoma"/>
        </w:rPr>
        <w:t xml:space="preserve"> 424-476.</w:t>
      </w:r>
    </w:p>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Οι καθιερωμένοι όροι διεθνώς είναι </w:t>
      </w:r>
      <w:r>
        <w:rPr>
          <w:rFonts w:ascii="Tahoma" w:hAnsi="Tahoma" w:cs="Tahoma"/>
        </w:rPr>
        <w:t>‘</w:t>
      </w:r>
      <w:r w:rsidRPr="009B2E31">
        <w:rPr>
          <w:rFonts w:ascii="Tahoma" w:hAnsi="Tahoma" w:cs="Tahoma"/>
        </w:rPr>
        <w:t>‘</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regulation</w:t>
      </w:r>
      <w:r>
        <w:rPr>
          <w:rFonts w:ascii="Tahoma" w:hAnsi="Tahoma" w:cs="Tahoma"/>
        </w:rPr>
        <w:t>’</w:t>
      </w:r>
      <w:r w:rsidRPr="009B2E31">
        <w:rPr>
          <w:rFonts w:ascii="Tahoma" w:hAnsi="Tahoma" w:cs="Tahoma"/>
        </w:rPr>
        <w:t xml:space="preserve">’ και </w:t>
      </w:r>
      <w:r>
        <w:rPr>
          <w:rFonts w:ascii="Tahoma" w:hAnsi="Tahoma" w:cs="Tahoma"/>
        </w:rPr>
        <w:t>‘</w:t>
      </w:r>
      <w:r w:rsidRPr="009B2E31">
        <w:rPr>
          <w:rFonts w:ascii="Tahoma" w:hAnsi="Tahoma" w:cs="Tahoma"/>
        </w:rPr>
        <w:t>‘</w:t>
      </w:r>
      <w:r w:rsidRPr="009B2E31">
        <w:rPr>
          <w:rFonts w:ascii="Tahoma" w:hAnsi="Tahoma" w:cs="Tahoma"/>
          <w:lang w:val="en-US"/>
        </w:rPr>
        <w:t>risk</w:t>
      </w:r>
      <w:r w:rsidRPr="009B2E31">
        <w:rPr>
          <w:rFonts w:ascii="Tahoma" w:hAnsi="Tahoma" w:cs="Tahoma"/>
        </w:rPr>
        <w:t xml:space="preserve"> </w:t>
      </w:r>
      <w:r w:rsidRPr="009B2E31">
        <w:rPr>
          <w:rFonts w:ascii="Tahoma" w:hAnsi="Tahoma" w:cs="Tahoma"/>
          <w:lang w:val="en-US"/>
        </w:rPr>
        <w:t>analysis</w:t>
      </w:r>
      <w:r w:rsidRPr="009B2E31">
        <w:rPr>
          <w:rFonts w:ascii="Tahoma" w:hAnsi="Tahoma" w:cs="Tahoma"/>
        </w:rPr>
        <w:t>’</w:t>
      </w:r>
      <w:r>
        <w:rPr>
          <w:rFonts w:ascii="Tahoma" w:hAnsi="Tahoma" w:cs="Tahoma"/>
        </w:rPr>
        <w:t>’</w:t>
      </w:r>
      <w:r w:rsidRPr="009B2E31">
        <w:rPr>
          <w:rFonts w:ascii="Tahoma" w:hAnsi="Tahoma" w:cs="Tahoma"/>
        </w:rPr>
        <w:t xml:space="preserve">. </w:t>
      </w:r>
    </w:p>
  </w:footnote>
  <w:footnote w:id="2">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CC4785">
        <w:rPr>
          <w:rFonts w:ascii="Tahoma" w:hAnsi="Tahoma" w:cs="Tahoma"/>
          <w:i/>
          <w:lang w:val="en-GB"/>
        </w:rPr>
        <w:t>US</w:t>
      </w:r>
      <w:r w:rsidRPr="00CC4785">
        <w:rPr>
          <w:rFonts w:ascii="Tahoma" w:hAnsi="Tahoma" w:cs="Tahoma"/>
          <w:i/>
          <w:lang w:val="en-US"/>
        </w:rPr>
        <w:t xml:space="preserve"> National Research Council</w:t>
      </w:r>
      <w:r w:rsidRPr="009B2E31">
        <w:rPr>
          <w:rFonts w:ascii="Tahoma" w:hAnsi="Tahoma" w:cs="Tahoma"/>
          <w:lang w:val="en-US"/>
        </w:rPr>
        <w:t>, Risk Assessment in the Federal Government: Managing the Process, 1983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 </w:t>
      </w:r>
      <w:r w:rsidRPr="009B2E31">
        <w:rPr>
          <w:rFonts w:ascii="Tahoma" w:hAnsi="Tahoma" w:cs="Tahoma"/>
        </w:rPr>
        <w:t xml:space="preserve">Πρόκειται για την έκθεση, γνωστή ως </w:t>
      </w:r>
      <w:r w:rsidRPr="009B2E31">
        <w:rPr>
          <w:rFonts w:ascii="Tahoma" w:hAnsi="Tahoma" w:cs="Tahoma"/>
          <w:lang w:val="en-GB"/>
        </w:rPr>
        <w:t>Red</w:t>
      </w:r>
      <w:r w:rsidRPr="009B2E31">
        <w:rPr>
          <w:rFonts w:ascii="Tahoma" w:hAnsi="Tahoma" w:cs="Tahoma"/>
        </w:rPr>
        <w:t xml:space="preserve"> </w:t>
      </w:r>
      <w:r w:rsidRPr="009B2E31">
        <w:rPr>
          <w:rFonts w:ascii="Tahoma" w:hAnsi="Tahoma" w:cs="Tahoma"/>
          <w:lang w:val="en-GB"/>
        </w:rPr>
        <w:t>Book</w:t>
      </w:r>
      <w:r w:rsidRPr="009B2E31">
        <w:rPr>
          <w:rFonts w:ascii="Tahoma" w:hAnsi="Tahoma" w:cs="Tahoma"/>
        </w:rPr>
        <w:t xml:space="preserve">,  η οποία επέδρασε καθοριστικά στην καθιέρωση της ανάλυσης των κινδύνων στο αμερικανικό δίκαιο. Βλ, ομοίως, </w:t>
      </w:r>
      <w:r w:rsidRPr="00CC4785">
        <w:rPr>
          <w:rFonts w:ascii="Tahoma" w:hAnsi="Tahoma" w:cs="Tahoma"/>
          <w:i/>
          <w:lang w:val="en-GB"/>
        </w:rPr>
        <w:t>S</w:t>
      </w:r>
      <w:r w:rsidRPr="00CC4785">
        <w:rPr>
          <w:rFonts w:ascii="Tahoma" w:hAnsi="Tahoma" w:cs="Tahoma"/>
          <w:i/>
        </w:rPr>
        <w:t xml:space="preserve">. </w:t>
      </w:r>
      <w:r w:rsidRPr="00CC4785">
        <w:rPr>
          <w:rFonts w:ascii="Tahoma" w:hAnsi="Tahoma" w:cs="Tahoma"/>
          <w:i/>
          <w:lang w:val="en-US"/>
        </w:rPr>
        <w:t>Breyer</w:t>
      </w:r>
      <w:r w:rsidRPr="009B2E31">
        <w:rPr>
          <w:rFonts w:ascii="Tahoma" w:hAnsi="Tahoma" w:cs="Tahoma"/>
        </w:rPr>
        <w:t xml:space="preserve">, </w:t>
      </w:r>
      <w:r w:rsidRPr="009B2E31">
        <w:rPr>
          <w:rFonts w:ascii="Tahoma" w:hAnsi="Tahoma" w:cs="Tahoma"/>
          <w:lang w:val="en-US"/>
        </w:rPr>
        <w:t>Breaking</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Vicious</w:t>
      </w:r>
      <w:r w:rsidRPr="009B2E31">
        <w:rPr>
          <w:rFonts w:ascii="Tahoma" w:hAnsi="Tahoma" w:cs="Tahoma"/>
        </w:rPr>
        <w:t xml:space="preserve"> </w:t>
      </w:r>
      <w:r w:rsidRPr="009B2E31">
        <w:rPr>
          <w:rFonts w:ascii="Tahoma" w:hAnsi="Tahoma" w:cs="Tahoma"/>
          <w:lang w:val="en-US"/>
        </w:rPr>
        <w:t>Circle</w:t>
      </w:r>
      <w:r w:rsidRPr="009B2E31">
        <w:rPr>
          <w:rFonts w:ascii="Tahoma" w:hAnsi="Tahoma" w:cs="Tahoma"/>
        </w:rPr>
        <w:t xml:space="preserve">, ό.π., σ. 9 (ο οποίος τονίζει ότι η ανάλυση </w:t>
      </w:r>
      <w:r>
        <w:rPr>
          <w:rFonts w:ascii="Tahoma" w:hAnsi="Tahoma" w:cs="Tahoma"/>
        </w:rPr>
        <w:t>του κινδύνου</w:t>
      </w:r>
      <w:r w:rsidRPr="009B2E31">
        <w:rPr>
          <w:rFonts w:ascii="Tahoma" w:hAnsi="Tahoma" w:cs="Tahoma"/>
        </w:rPr>
        <w:t xml:space="preserve"> «έχει δύο βασικά μέρη, ένα τεχνικό μέρος, το επονομαζόμενο ‘εκτίμηση του κινδύνου’, το οποίο αποσκοπεί στη μέτρηση του κινδύνου από μια ουσία, και ένα πολιτικά προσανατολισμένο μέρος, το επονομαζόμενο ‘διαχείριση του κινδύνου’.»</w:t>
      </w:r>
      <w:r>
        <w:rPr>
          <w:rFonts w:ascii="Tahoma" w:hAnsi="Tahoma" w:cs="Tahoma"/>
        </w:rPr>
        <w:t>)</w:t>
      </w:r>
      <w:r w:rsidRPr="009B2E31">
        <w:rPr>
          <w:rFonts w:ascii="Tahoma" w:hAnsi="Tahoma" w:cs="Tahoma"/>
        </w:rPr>
        <w:t xml:space="preserve"> Για την ανάλυση των κινδύνων στην Ευρώπη, βλ., αντί άλλων, Ανακοίνωση της Επιτροπής για την αρχή της προφύλαξης COM (2000) 1 τελικό.</w:t>
      </w:r>
      <w:r>
        <w:rPr>
          <w:rFonts w:ascii="Tahoma" w:hAnsi="Tahoma" w:cs="Tahoma"/>
        </w:rPr>
        <w:t xml:space="preserve"> Η ανάλυσή μας θα εστιαστεί στα δύο αυτά στάδια</w:t>
      </w:r>
    </w:p>
  </w:footnote>
  <w:footnote w:id="3">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2C4C48">
        <w:rPr>
          <w:rFonts w:ascii="Tahoma" w:hAnsi="Tahoma" w:cs="Tahoma"/>
          <w:i/>
          <w:lang w:val="en-GB"/>
        </w:rPr>
        <w:t>Red</w:t>
      </w:r>
      <w:r w:rsidRPr="006654AD">
        <w:rPr>
          <w:rFonts w:ascii="Tahoma" w:hAnsi="Tahoma" w:cs="Tahoma"/>
          <w:i/>
        </w:rPr>
        <w:t xml:space="preserve"> </w:t>
      </w:r>
      <w:r w:rsidRPr="002C4C48">
        <w:rPr>
          <w:rFonts w:ascii="Tahoma" w:hAnsi="Tahoma" w:cs="Tahoma"/>
          <w:i/>
          <w:lang w:val="en-GB"/>
        </w:rPr>
        <w:t>Book</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xml:space="preserve">. 18. </w:t>
      </w:r>
      <w:r w:rsidRPr="009B2E31">
        <w:rPr>
          <w:rFonts w:ascii="Tahoma" w:hAnsi="Tahoma" w:cs="Tahoma"/>
        </w:rPr>
        <w:t>Βλ</w:t>
      </w:r>
      <w:r w:rsidRPr="006654AD">
        <w:rPr>
          <w:rFonts w:ascii="Tahoma" w:hAnsi="Tahoma" w:cs="Tahoma"/>
        </w:rPr>
        <w:t xml:space="preserve">., </w:t>
      </w:r>
      <w:r w:rsidRPr="009B2E31">
        <w:rPr>
          <w:rFonts w:ascii="Tahoma" w:hAnsi="Tahoma" w:cs="Tahoma"/>
        </w:rPr>
        <w:t>επίσης</w:t>
      </w:r>
      <w:r w:rsidRPr="006654AD">
        <w:rPr>
          <w:rFonts w:ascii="Tahoma" w:hAnsi="Tahoma" w:cs="Tahoma"/>
        </w:rPr>
        <w:t xml:space="preserve">,  </w:t>
      </w:r>
      <w:r w:rsidRPr="00CC4785">
        <w:rPr>
          <w:rFonts w:ascii="Tahoma" w:hAnsi="Tahoma" w:cs="Tahoma"/>
          <w:i/>
          <w:lang w:val="en-GB"/>
        </w:rPr>
        <w:t>The</w:t>
      </w:r>
      <w:r w:rsidRPr="006654AD">
        <w:rPr>
          <w:rFonts w:ascii="Tahoma" w:hAnsi="Tahoma" w:cs="Tahoma"/>
          <w:i/>
        </w:rPr>
        <w:t xml:space="preserve"> </w:t>
      </w:r>
      <w:r w:rsidRPr="00CC4785">
        <w:rPr>
          <w:rFonts w:ascii="Tahoma" w:hAnsi="Tahoma" w:cs="Tahoma"/>
          <w:i/>
          <w:lang w:val="en-GB"/>
        </w:rPr>
        <w:t>Presidential</w:t>
      </w:r>
      <w:r w:rsidRPr="006654AD">
        <w:rPr>
          <w:rFonts w:ascii="Tahoma" w:hAnsi="Tahoma" w:cs="Tahoma"/>
          <w:i/>
        </w:rPr>
        <w:t>/</w:t>
      </w:r>
      <w:r w:rsidRPr="00CC4785">
        <w:rPr>
          <w:rFonts w:ascii="Tahoma" w:hAnsi="Tahoma" w:cs="Tahoma"/>
          <w:i/>
          <w:lang w:val="en-GB"/>
        </w:rPr>
        <w:t>Congressional</w:t>
      </w:r>
      <w:r w:rsidRPr="006654AD">
        <w:rPr>
          <w:rFonts w:ascii="Tahoma" w:hAnsi="Tahoma" w:cs="Tahoma"/>
          <w:i/>
        </w:rPr>
        <w:t xml:space="preserve"> </w:t>
      </w:r>
      <w:r w:rsidRPr="00CC4785">
        <w:rPr>
          <w:rFonts w:ascii="Tahoma" w:hAnsi="Tahoma" w:cs="Tahoma"/>
          <w:i/>
          <w:lang w:val="en-GB"/>
        </w:rPr>
        <w:t>Commission</w:t>
      </w:r>
      <w:r w:rsidRPr="006654AD">
        <w:rPr>
          <w:rFonts w:ascii="Tahoma" w:hAnsi="Tahoma" w:cs="Tahoma"/>
          <w:i/>
        </w:rPr>
        <w:t xml:space="preserve"> </w:t>
      </w:r>
      <w:r w:rsidRPr="00CC4785">
        <w:rPr>
          <w:rFonts w:ascii="Tahoma" w:hAnsi="Tahoma" w:cs="Tahoma"/>
          <w:i/>
          <w:lang w:val="en-US"/>
        </w:rPr>
        <w:t>on</w:t>
      </w:r>
      <w:r w:rsidRPr="006654AD">
        <w:rPr>
          <w:rFonts w:ascii="Tahoma" w:hAnsi="Tahoma" w:cs="Tahoma"/>
          <w:i/>
        </w:rPr>
        <w:t xml:space="preserve"> </w:t>
      </w:r>
      <w:r w:rsidRPr="00CC4785">
        <w:rPr>
          <w:rFonts w:ascii="Tahoma" w:hAnsi="Tahoma" w:cs="Tahoma"/>
          <w:i/>
          <w:lang w:val="en-US"/>
        </w:rPr>
        <w:t>Risk</w:t>
      </w:r>
      <w:r w:rsidRPr="006654AD">
        <w:rPr>
          <w:rFonts w:ascii="Tahoma" w:hAnsi="Tahoma" w:cs="Tahoma"/>
          <w:i/>
        </w:rPr>
        <w:t xml:space="preserve"> </w:t>
      </w:r>
      <w:r w:rsidRPr="00CC4785">
        <w:rPr>
          <w:rFonts w:ascii="Tahoma" w:hAnsi="Tahoma" w:cs="Tahoma"/>
          <w:i/>
          <w:lang w:val="en-US"/>
        </w:rPr>
        <w:t>Assessment</w:t>
      </w:r>
      <w:r w:rsidRPr="006654AD">
        <w:rPr>
          <w:rFonts w:ascii="Tahoma" w:hAnsi="Tahoma" w:cs="Tahoma"/>
          <w:i/>
        </w:rPr>
        <w:t xml:space="preserve"> </w:t>
      </w:r>
      <w:r w:rsidRPr="00CC4785">
        <w:rPr>
          <w:rFonts w:ascii="Tahoma" w:hAnsi="Tahoma" w:cs="Tahoma"/>
          <w:i/>
          <w:lang w:val="en-US"/>
        </w:rPr>
        <w:t>and</w:t>
      </w:r>
      <w:r w:rsidRPr="006654AD">
        <w:rPr>
          <w:rFonts w:ascii="Tahoma" w:hAnsi="Tahoma" w:cs="Tahoma"/>
          <w:i/>
        </w:rPr>
        <w:t xml:space="preserve"> </w:t>
      </w:r>
      <w:r w:rsidRPr="00CC4785">
        <w:rPr>
          <w:rFonts w:ascii="Tahoma" w:hAnsi="Tahoma" w:cs="Tahoma"/>
          <w:i/>
          <w:lang w:val="en-US"/>
        </w:rPr>
        <w:t>Risk</w:t>
      </w:r>
      <w:r w:rsidRPr="006654AD">
        <w:rPr>
          <w:rFonts w:ascii="Tahoma" w:hAnsi="Tahoma" w:cs="Tahoma"/>
          <w:i/>
        </w:rPr>
        <w:t xml:space="preserve"> </w:t>
      </w:r>
      <w:r w:rsidRPr="00CC4785">
        <w:rPr>
          <w:rFonts w:ascii="Tahoma" w:hAnsi="Tahoma" w:cs="Tahoma"/>
          <w:i/>
          <w:lang w:val="en-US"/>
        </w:rPr>
        <w:t>Management</w:t>
      </w:r>
      <w:r w:rsidRPr="006654AD">
        <w:rPr>
          <w:rFonts w:ascii="Tahoma" w:hAnsi="Tahoma" w:cs="Tahoma"/>
        </w:rPr>
        <w:t xml:space="preserve">, </w:t>
      </w:r>
      <w:r w:rsidRPr="009B2E31">
        <w:rPr>
          <w:rFonts w:ascii="Tahoma" w:hAnsi="Tahoma" w:cs="Tahoma"/>
          <w:lang w:val="en-US"/>
        </w:rPr>
        <w:t>Final</w:t>
      </w:r>
      <w:r w:rsidRPr="006654AD">
        <w:rPr>
          <w:rFonts w:ascii="Tahoma" w:hAnsi="Tahoma" w:cs="Tahoma"/>
        </w:rPr>
        <w:t xml:space="preserve"> </w:t>
      </w:r>
      <w:r w:rsidRPr="009B2E31">
        <w:rPr>
          <w:rFonts w:ascii="Tahoma" w:hAnsi="Tahoma" w:cs="Tahoma"/>
          <w:lang w:val="en-US"/>
        </w:rPr>
        <w:t>Report</w:t>
      </w:r>
      <w:r w:rsidRPr="006654AD">
        <w:rPr>
          <w:rFonts w:ascii="Tahoma" w:hAnsi="Tahoma" w:cs="Tahoma"/>
        </w:rPr>
        <w:t xml:space="preserve">: </w:t>
      </w:r>
      <w:r w:rsidRPr="009B2E31">
        <w:rPr>
          <w:rFonts w:ascii="Tahoma" w:hAnsi="Tahoma" w:cs="Tahoma"/>
          <w:lang w:val="en-US"/>
        </w:rPr>
        <w:t>Risk</w:t>
      </w:r>
      <w:r w:rsidRPr="006654AD">
        <w:rPr>
          <w:rFonts w:ascii="Tahoma" w:hAnsi="Tahoma" w:cs="Tahoma"/>
        </w:rPr>
        <w:t xml:space="preserve"> </w:t>
      </w:r>
      <w:r w:rsidRPr="009B2E31">
        <w:rPr>
          <w:rFonts w:ascii="Tahoma" w:hAnsi="Tahoma" w:cs="Tahoma"/>
          <w:lang w:val="en-US"/>
        </w:rPr>
        <w:t>Assessment</w:t>
      </w:r>
      <w:r w:rsidRPr="006654AD">
        <w:rPr>
          <w:rFonts w:ascii="Tahoma" w:hAnsi="Tahoma" w:cs="Tahoma"/>
        </w:rPr>
        <w:t xml:space="preserve"> </w:t>
      </w:r>
      <w:r w:rsidRPr="009B2E31">
        <w:rPr>
          <w:rFonts w:ascii="Tahoma" w:hAnsi="Tahoma" w:cs="Tahoma"/>
          <w:lang w:val="en-US"/>
        </w:rPr>
        <w:t>and</w:t>
      </w:r>
      <w:r w:rsidRPr="006654AD">
        <w:rPr>
          <w:rFonts w:ascii="Tahoma" w:hAnsi="Tahoma" w:cs="Tahoma"/>
        </w:rPr>
        <w:t xml:space="preserve"> </w:t>
      </w:r>
      <w:r w:rsidRPr="009B2E31">
        <w:rPr>
          <w:rFonts w:ascii="Tahoma" w:hAnsi="Tahoma" w:cs="Tahoma"/>
          <w:lang w:val="en-US"/>
        </w:rPr>
        <w:t>Risk</w:t>
      </w:r>
      <w:r w:rsidRPr="006654AD">
        <w:rPr>
          <w:rFonts w:ascii="Tahoma" w:hAnsi="Tahoma" w:cs="Tahoma"/>
        </w:rPr>
        <w:t xml:space="preserve"> </w:t>
      </w:r>
      <w:r w:rsidRPr="009B2E31">
        <w:rPr>
          <w:rFonts w:ascii="Tahoma" w:hAnsi="Tahoma" w:cs="Tahoma"/>
          <w:lang w:val="en-US"/>
        </w:rPr>
        <w:t>Management</w:t>
      </w:r>
      <w:r w:rsidRPr="006654AD">
        <w:rPr>
          <w:rFonts w:ascii="Tahoma" w:hAnsi="Tahoma" w:cs="Tahoma"/>
        </w:rPr>
        <w:t xml:space="preserve"> </w:t>
      </w:r>
      <w:r w:rsidRPr="009B2E31">
        <w:rPr>
          <w:rFonts w:ascii="Tahoma" w:hAnsi="Tahoma" w:cs="Tahoma"/>
          <w:lang w:val="en-US"/>
        </w:rPr>
        <w:t>in</w:t>
      </w:r>
      <w:r w:rsidRPr="006654AD">
        <w:rPr>
          <w:rFonts w:ascii="Tahoma" w:hAnsi="Tahoma" w:cs="Tahoma"/>
        </w:rPr>
        <w:t xml:space="preserve"> </w:t>
      </w:r>
      <w:r w:rsidRPr="009B2E31">
        <w:rPr>
          <w:rFonts w:ascii="Tahoma" w:hAnsi="Tahoma" w:cs="Tahoma"/>
          <w:lang w:val="en-US"/>
        </w:rPr>
        <w:t>Regulatory</w:t>
      </w:r>
      <w:r w:rsidRPr="006654AD">
        <w:rPr>
          <w:rFonts w:ascii="Tahoma" w:hAnsi="Tahoma" w:cs="Tahoma"/>
        </w:rPr>
        <w:t xml:space="preserve"> </w:t>
      </w:r>
      <w:r w:rsidRPr="009B2E31">
        <w:rPr>
          <w:rFonts w:ascii="Tahoma" w:hAnsi="Tahoma" w:cs="Tahoma"/>
          <w:lang w:val="en-US"/>
        </w:rPr>
        <w:t>Decision</w:t>
      </w:r>
      <w:r w:rsidRPr="006654AD">
        <w:rPr>
          <w:rFonts w:ascii="Tahoma" w:hAnsi="Tahoma" w:cs="Tahoma"/>
        </w:rPr>
        <w:t>-</w:t>
      </w:r>
      <w:r w:rsidRPr="009B2E31">
        <w:rPr>
          <w:rFonts w:ascii="Tahoma" w:hAnsi="Tahoma" w:cs="Tahoma"/>
          <w:lang w:val="en-US"/>
        </w:rPr>
        <w:t>Making</w:t>
      </w:r>
      <w:r w:rsidRPr="006654AD">
        <w:rPr>
          <w:rFonts w:ascii="Tahoma" w:hAnsi="Tahoma" w:cs="Tahoma"/>
        </w:rPr>
        <w:t xml:space="preserve">, 1997, </w:t>
      </w:r>
      <w:r w:rsidRPr="009B2E31">
        <w:rPr>
          <w:rFonts w:ascii="Tahoma" w:hAnsi="Tahoma" w:cs="Tahoma"/>
        </w:rPr>
        <w:t>σ</w:t>
      </w:r>
      <w:r w:rsidRPr="006654AD">
        <w:rPr>
          <w:rFonts w:ascii="Tahoma" w:hAnsi="Tahoma" w:cs="Tahoma"/>
        </w:rPr>
        <w:t>. 2 (</w:t>
      </w:r>
      <w:r w:rsidRPr="009B2E31">
        <w:rPr>
          <w:rFonts w:ascii="Tahoma" w:hAnsi="Tahoma" w:cs="Tahoma"/>
        </w:rPr>
        <w:t>όπου</w:t>
      </w:r>
      <w:r w:rsidRPr="006654AD">
        <w:rPr>
          <w:rFonts w:ascii="Tahoma" w:hAnsi="Tahoma" w:cs="Tahoma"/>
        </w:rPr>
        <w:t xml:space="preserve"> </w:t>
      </w:r>
      <w:r w:rsidRPr="009B2E31">
        <w:rPr>
          <w:rFonts w:ascii="Tahoma" w:hAnsi="Tahoma" w:cs="Tahoma"/>
        </w:rPr>
        <w:t>τονίζεται</w:t>
      </w:r>
      <w:r w:rsidRPr="006654AD">
        <w:rPr>
          <w:rFonts w:ascii="Tahoma" w:hAnsi="Tahoma" w:cs="Tahoma"/>
        </w:rPr>
        <w:t xml:space="preserve"> </w:t>
      </w:r>
      <w:r w:rsidRPr="009B2E31">
        <w:rPr>
          <w:rFonts w:ascii="Tahoma" w:hAnsi="Tahoma" w:cs="Tahoma"/>
        </w:rPr>
        <w:t>ότι</w:t>
      </w:r>
      <w:r w:rsidRPr="006654AD">
        <w:rPr>
          <w:rFonts w:ascii="Tahoma" w:hAnsi="Tahoma" w:cs="Tahoma"/>
        </w:rPr>
        <w:t xml:space="preserve"> ‘‘</w:t>
      </w:r>
      <w:r w:rsidRPr="009B2E31">
        <w:rPr>
          <w:rFonts w:ascii="Tahoma" w:hAnsi="Tahoma" w:cs="Tahoma"/>
        </w:rPr>
        <w:t>η</w:t>
      </w:r>
      <w:r w:rsidRPr="006654AD">
        <w:rPr>
          <w:rFonts w:ascii="Tahoma" w:hAnsi="Tahoma" w:cs="Tahoma"/>
        </w:rPr>
        <w:t xml:space="preserve"> </w:t>
      </w:r>
      <w:r w:rsidRPr="009B2E31">
        <w:rPr>
          <w:rFonts w:ascii="Tahoma" w:hAnsi="Tahoma" w:cs="Tahoma"/>
        </w:rPr>
        <w:t>εκτίμηση</w:t>
      </w:r>
      <w:r w:rsidRPr="006654AD">
        <w:rPr>
          <w:rFonts w:ascii="Tahoma" w:hAnsi="Tahoma" w:cs="Tahoma"/>
        </w:rPr>
        <w:t xml:space="preserve"> </w:t>
      </w:r>
      <w:r w:rsidRPr="009B2E31">
        <w:rPr>
          <w:rFonts w:ascii="Tahoma" w:hAnsi="Tahoma" w:cs="Tahoma"/>
        </w:rPr>
        <w:t>του</w:t>
      </w:r>
      <w:r w:rsidRPr="006654AD">
        <w:rPr>
          <w:rFonts w:ascii="Tahoma" w:hAnsi="Tahoma" w:cs="Tahoma"/>
        </w:rPr>
        <w:t xml:space="preserve"> </w:t>
      </w:r>
      <w:r w:rsidRPr="009B2E31">
        <w:rPr>
          <w:rFonts w:ascii="Tahoma" w:hAnsi="Tahoma" w:cs="Tahoma"/>
        </w:rPr>
        <w:t>κινδύνου</w:t>
      </w:r>
      <w:r w:rsidRPr="006654AD">
        <w:rPr>
          <w:rFonts w:ascii="Tahoma" w:hAnsi="Tahoma" w:cs="Tahoma"/>
        </w:rPr>
        <w:t xml:space="preserve"> </w:t>
      </w:r>
      <w:r w:rsidRPr="009B2E31">
        <w:rPr>
          <w:rFonts w:ascii="Tahoma" w:hAnsi="Tahoma" w:cs="Tahoma"/>
        </w:rPr>
        <w:t>είναι</w:t>
      </w:r>
      <w:r w:rsidRPr="006654AD">
        <w:rPr>
          <w:rFonts w:ascii="Tahoma" w:hAnsi="Tahoma" w:cs="Tahoma"/>
        </w:rPr>
        <w:t xml:space="preserve"> </w:t>
      </w:r>
      <w:r w:rsidRPr="009B2E31">
        <w:rPr>
          <w:rFonts w:ascii="Tahoma" w:hAnsi="Tahoma" w:cs="Tahoma"/>
        </w:rPr>
        <w:t>ο</w:t>
      </w:r>
      <w:r w:rsidRPr="006654AD">
        <w:rPr>
          <w:rFonts w:ascii="Tahoma" w:hAnsi="Tahoma" w:cs="Tahoma"/>
        </w:rPr>
        <w:t xml:space="preserve"> </w:t>
      </w:r>
      <w:r w:rsidRPr="009B2E31">
        <w:rPr>
          <w:rFonts w:ascii="Tahoma" w:hAnsi="Tahoma" w:cs="Tahoma"/>
        </w:rPr>
        <w:t>συστηματικός</w:t>
      </w:r>
      <w:r w:rsidRPr="006654AD">
        <w:rPr>
          <w:rFonts w:ascii="Tahoma" w:hAnsi="Tahoma" w:cs="Tahoma"/>
        </w:rPr>
        <w:t xml:space="preserve">, </w:t>
      </w:r>
      <w:r w:rsidRPr="009B2E31">
        <w:rPr>
          <w:rFonts w:ascii="Tahoma" w:hAnsi="Tahoma" w:cs="Tahoma"/>
        </w:rPr>
        <w:t>επιστημονικός</w:t>
      </w:r>
      <w:r w:rsidRPr="006654AD">
        <w:rPr>
          <w:rFonts w:ascii="Tahoma" w:hAnsi="Tahoma" w:cs="Tahoma"/>
        </w:rPr>
        <w:t xml:space="preserve"> </w:t>
      </w:r>
      <w:r w:rsidRPr="009B2E31">
        <w:rPr>
          <w:rFonts w:ascii="Tahoma" w:hAnsi="Tahoma" w:cs="Tahoma"/>
        </w:rPr>
        <w:t>καθορισμός</w:t>
      </w:r>
      <w:r w:rsidRPr="006654AD">
        <w:rPr>
          <w:rFonts w:ascii="Tahoma" w:hAnsi="Tahoma" w:cs="Tahoma"/>
        </w:rPr>
        <w:t xml:space="preserve"> </w:t>
      </w:r>
      <w:r w:rsidRPr="009B2E31">
        <w:rPr>
          <w:rFonts w:ascii="Tahoma" w:hAnsi="Tahoma" w:cs="Tahoma"/>
        </w:rPr>
        <w:t>των</w:t>
      </w:r>
      <w:r w:rsidRPr="006654AD">
        <w:rPr>
          <w:rFonts w:ascii="Tahoma" w:hAnsi="Tahoma" w:cs="Tahoma"/>
        </w:rPr>
        <w:t xml:space="preserve"> </w:t>
      </w:r>
      <w:r w:rsidRPr="009B2E31">
        <w:rPr>
          <w:rFonts w:ascii="Tahoma" w:hAnsi="Tahoma" w:cs="Tahoma"/>
        </w:rPr>
        <w:t>δυνάμει</w:t>
      </w:r>
      <w:r w:rsidRPr="006654AD">
        <w:rPr>
          <w:rFonts w:ascii="Tahoma" w:hAnsi="Tahoma" w:cs="Tahoma"/>
        </w:rPr>
        <w:t xml:space="preserve"> </w:t>
      </w:r>
      <w:r w:rsidRPr="009B2E31">
        <w:rPr>
          <w:rFonts w:ascii="Tahoma" w:hAnsi="Tahoma" w:cs="Tahoma"/>
        </w:rPr>
        <w:t>αρνητικών</w:t>
      </w:r>
      <w:r w:rsidRPr="006654AD">
        <w:rPr>
          <w:rFonts w:ascii="Tahoma" w:hAnsi="Tahoma" w:cs="Tahoma"/>
        </w:rPr>
        <w:t xml:space="preserve"> </w:t>
      </w:r>
      <w:r w:rsidRPr="009B2E31">
        <w:rPr>
          <w:rFonts w:ascii="Tahoma" w:hAnsi="Tahoma" w:cs="Tahoma"/>
        </w:rPr>
        <w:t>επιπτώσεων</w:t>
      </w:r>
      <w:r w:rsidRPr="006654AD">
        <w:rPr>
          <w:rFonts w:ascii="Tahoma" w:hAnsi="Tahoma" w:cs="Tahoma"/>
        </w:rPr>
        <w:t xml:space="preserve"> </w:t>
      </w:r>
      <w:r w:rsidRPr="009B2E31">
        <w:rPr>
          <w:rFonts w:ascii="Tahoma" w:hAnsi="Tahoma" w:cs="Tahoma"/>
        </w:rPr>
        <w:t>από</w:t>
      </w:r>
      <w:r w:rsidRPr="006654AD">
        <w:rPr>
          <w:rFonts w:ascii="Tahoma" w:hAnsi="Tahoma" w:cs="Tahoma"/>
        </w:rPr>
        <w:t xml:space="preserve"> </w:t>
      </w:r>
      <w:r w:rsidRPr="009B2E31">
        <w:rPr>
          <w:rFonts w:ascii="Tahoma" w:hAnsi="Tahoma" w:cs="Tahoma"/>
        </w:rPr>
        <w:t>την</w:t>
      </w:r>
      <w:r w:rsidRPr="006654AD">
        <w:rPr>
          <w:rFonts w:ascii="Tahoma" w:hAnsi="Tahoma" w:cs="Tahoma"/>
        </w:rPr>
        <w:t xml:space="preserve"> </w:t>
      </w:r>
      <w:r w:rsidRPr="009B2E31">
        <w:rPr>
          <w:rFonts w:ascii="Tahoma" w:hAnsi="Tahoma" w:cs="Tahoma"/>
        </w:rPr>
        <w:t>έκθεση</w:t>
      </w:r>
      <w:r w:rsidRPr="006654AD">
        <w:rPr>
          <w:rFonts w:ascii="Tahoma" w:hAnsi="Tahoma" w:cs="Tahoma"/>
        </w:rPr>
        <w:t xml:space="preserve"> </w:t>
      </w:r>
      <w:r w:rsidRPr="009B2E31">
        <w:rPr>
          <w:rFonts w:ascii="Tahoma" w:hAnsi="Tahoma" w:cs="Tahoma"/>
        </w:rPr>
        <w:t>του</w:t>
      </w:r>
      <w:r w:rsidRPr="006654AD">
        <w:rPr>
          <w:rFonts w:ascii="Tahoma" w:hAnsi="Tahoma" w:cs="Tahoma"/>
        </w:rPr>
        <w:t xml:space="preserve"> </w:t>
      </w:r>
      <w:r w:rsidRPr="009B2E31">
        <w:rPr>
          <w:rFonts w:ascii="Tahoma" w:hAnsi="Tahoma" w:cs="Tahoma"/>
        </w:rPr>
        <w:t>ανθρώπου</w:t>
      </w:r>
      <w:r w:rsidRPr="006654AD">
        <w:rPr>
          <w:rFonts w:ascii="Tahoma" w:hAnsi="Tahoma" w:cs="Tahoma"/>
        </w:rPr>
        <w:t xml:space="preserve"> </w:t>
      </w:r>
      <w:r w:rsidRPr="009B2E31">
        <w:rPr>
          <w:rFonts w:ascii="Tahoma" w:hAnsi="Tahoma" w:cs="Tahoma"/>
        </w:rPr>
        <w:t>ή</w:t>
      </w:r>
      <w:r w:rsidRPr="006654AD">
        <w:rPr>
          <w:rFonts w:ascii="Tahoma" w:hAnsi="Tahoma" w:cs="Tahoma"/>
        </w:rPr>
        <w:t xml:space="preserve"> </w:t>
      </w:r>
      <w:r w:rsidRPr="009B2E31">
        <w:rPr>
          <w:rFonts w:ascii="Tahoma" w:hAnsi="Tahoma" w:cs="Tahoma"/>
        </w:rPr>
        <w:t>του</w:t>
      </w:r>
      <w:r w:rsidRPr="006654AD">
        <w:rPr>
          <w:rFonts w:ascii="Tahoma" w:hAnsi="Tahoma" w:cs="Tahoma"/>
        </w:rPr>
        <w:t xml:space="preserve"> </w:t>
      </w:r>
      <w:r w:rsidRPr="009B2E31">
        <w:rPr>
          <w:rFonts w:ascii="Tahoma" w:hAnsi="Tahoma" w:cs="Tahoma"/>
        </w:rPr>
        <w:t>περιβάλλοντος</w:t>
      </w:r>
      <w:r w:rsidRPr="006654AD">
        <w:rPr>
          <w:rFonts w:ascii="Tahoma" w:hAnsi="Tahoma" w:cs="Tahoma"/>
        </w:rPr>
        <w:t xml:space="preserve"> </w:t>
      </w:r>
      <w:r w:rsidRPr="009B2E31">
        <w:rPr>
          <w:rFonts w:ascii="Tahoma" w:hAnsi="Tahoma" w:cs="Tahoma"/>
        </w:rPr>
        <w:t>σε</w:t>
      </w:r>
      <w:r w:rsidRPr="006654AD">
        <w:rPr>
          <w:rFonts w:ascii="Tahoma" w:hAnsi="Tahoma" w:cs="Tahoma"/>
        </w:rPr>
        <w:t xml:space="preserve"> </w:t>
      </w:r>
      <w:r w:rsidRPr="009B2E31">
        <w:rPr>
          <w:rFonts w:ascii="Tahoma" w:hAnsi="Tahoma" w:cs="Tahoma"/>
        </w:rPr>
        <w:t>επικίνδυνους</w:t>
      </w:r>
      <w:r w:rsidRPr="006654AD">
        <w:rPr>
          <w:rFonts w:ascii="Tahoma" w:hAnsi="Tahoma" w:cs="Tahoma"/>
        </w:rPr>
        <w:t xml:space="preserve"> </w:t>
      </w:r>
      <w:r w:rsidRPr="009B2E31">
        <w:rPr>
          <w:rFonts w:ascii="Tahoma" w:hAnsi="Tahoma" w:cs="Tahoma"/>
        </w:rPr>
        <w:t>παράγοντες</w:t>
      </w:r>
      <w:r w:rsidRPr="006654AD">
        <w:rPr>
          <w:rFonts w:ascii="Tahoma" w:hAnsi="Tahoma" w:cs="Tahoma"/>
        </w:rPr>
        <w:t xml:space="preserve"> </w:t>
      </w:r>
      <w:r w:rsidRPr="009B2E31">
        <w:rPr>
          <w:rFonts w:ascii="Tahoma" w:hAnsi="Tahoma" w:cs="Tahoma"/>
        </w:rPr>
        <w:t>ή</w:t>
      </w:r>
      <w:r w:rsidRPr="006654AD">
        <w:rPr>
          <w:rFonts w:ascii="Tahoma" w:hAnsi="Tahoma" w:cs="Tahoma"/>
        </w:rPr>
        <w:t xml:space="preserve"> </w:t>
      </w:r>
      <w:r w:rsidRPr="009B2E31">
        <w:rPr>
          <w:rFonts w:ascii="Tahoma" w:hAnsi="Tahoma" w:cs="Tahoma"/>
        </w:rPr>
        <w:t>δραστηριότητες</w:t>
      </w:r>
      <w:r w:rsidRPr="006654AD">
        <w:rPr>
          <w:rFonts w:ascii="Tahoma" w:hAnsi="Tahoma" w:cs="Tahoma"/>
        </w:rPr>
        <w:t xml:space="preserve">’’. </w:t>
      </w:r>
      <w:r w:rsidRPr="009B2E31">
        <w:rPr>
          <w:rFonts w:ascii="Tahoma" w:hAnsi="Tahoma" w:cs="Tahoma"/>
        </w:rPr>
        <w:t xml:space="preserve">Διαθέσιμο στο: </w:t>
      </w:r>
      <w:hyperlink r:id="rId1" w:history="1">
        <w:r w:rsidRPr="009B2E31">
          <w:rPr>
            <w:rStyle w:val="Hyperlink"/>
            <w:rFonts w:ascii="Tahoma" w:hAnsi="Tahoma" w:cs="Tahoma"/>
          </w:rPr>
          <w:t>http://www.epa.gov/ncea/pdfs/riskcom/riskcom2.pdf</w:t>
        </w:r>
      </w:hyperlink>
      <w:r w:rsidRPr="009B2E31">
        <w:rPr>
          <w:rFonts w:ascii="Tahoma" w:hAnsi="Tahoma" w:cs="Tahoma"/>
        </w:rPr>
        <w:t xml:space="preserve">. </w:t>
      </w:r>
    </w:p>
  </w:footnote>
  <w:footnote w:id="4">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07D53">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18-19.</w:t>
      </w:r>
    </w:p>
  </w:footnote>
  <w:footnote w:id="5">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07D53">
        <w:rPr>
          <w:rFonts w:ascii="Tahoma" w:hAnsi="Tahoma" w:cs="Tahoma"/>
          <w:i/>
          <w:lang w:val="en-GB"/>
        </w:rPr>
        <w:t>US</w:t>
      </w:r>
      <w:r w:rsidRPr="00B07D53">
        <w:rPr>
          <w:rFonts w:ascii="Tahoma" w:hAnsi="Tahoma" w:cs="Tahoma"/>
          <w:i/>
          <w:lang w:val="en-US"/>
        </w:rPr>
        <w:t xml:space="preserve"> National Research Council</w:t>
      </w:r>
      <w:r w:rsidRPr="009B2E31">
        <w:rPr>
          <w:rFonts w:ascii="Tahoma" w:hAnsi="Tahoma" w:cs="Tahoma"/>
          <w:lang w:val="en-US"/>
        </w:rPr>
        <w:t>,</w:t>
      </w:r>
      <w:r w:rsidRPr="009B2E31">
        <w:rPr>
          <w:rFonts w:ascii="Tahoma" w:hAnsi="Tahoma" w:cs="Tahoma"/>
          <w:lang w:val="en-GB"/>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26.</w:t>
      </w:r>
    </w:p>
  </w:footnote>
  <w:footnote w:id="6">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B07D53">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37. </w:t>
      </w:r>
      <w:r w:rsidRPr="009B2E31">
        <w:rPr>
          <w:rFonts w:ascii="Tahoma" w:hAnsi="Tahoma" w:cs="Tahoma"/>
        </w:rPr>
        <w:t xml:space="preserve">Βλ., επίσης, </w:t>
      </w:r>
      <w:r w:rsidRPr="00B07D53">
        <w:rPr>
          <w:rFonts w:ascii="Tahoma" w:hAnsi="Tahoma" w:cs="Tahoma"/>
          <w:i/>
          <w:lang w:val="en-GB"/>
        </w:rPr>
        <w:t>EPA</w:t>
      </w:r>
      <w:r w:rsidRPr="009B2E31">
        <w:rPr>
          <w:rFonts w:ascii="Tahoma" w:hAnsi="Tahoma" w:cs="Tahoma"/>
        </w:rPr>
        <w:t xml:space="preserve">, </w:t>
      </w:r>
      <w:r w:rsidRPr="009B2E31">
        <w:rPr>
          <w:rFonts w:ascii="Tahoma" w:hAnsi="Tahoma" w:cs="Tahoma"/>
          <w:lang w:val="en-GB"/>
        </w:rPr>
        <w:t>Science</w:t>
      </w:r>
      <w:r w:rsidRPr="009B2E31">
        <w:rPr>
          <w:rFonts w:ascii="Tahoma" w:hAnsi="Tahoma" w:cs="Tahoma"/>
        </w:rPr>
        <w:t xml:space="preserve"> </w:t>
      </w:r>
      <w:r w:rsidRPr="009B2E31">
        <w:rPr>
          <w:rFonts w:ascii="Tahoma" w:hAnsi="Tahoma" w:cs="Tahoma"/>
          <w:lang w:val="en-GB"/>
        </w:rPr>
        <w:t>Policy</w:t>
      </w:r>
      <w:r w:rsidRPr="009B2E31">
        <w:rPr>
          <w:rFonts w:ascii="Tahoma" w:hAnsi="Tahoma" w:cs="Tahoma"/>
        </w:rPr>
        <w:t xml:space="preserve"> </w:t>
      </w:r>
      <w:r w:rsidRPr="009B2E31">
        <w:rPr>
          <w:rFonts w:ascii="Tahoma" w:hAnsi="Tahoma" w:cs="Tahoma"/>
          <w:lang w:val="en-GB"/>
        </w:rPr>
        <w:t>Council</w:t>
      </w:r>
      <w:r w:rsidRPr="009B2E31">
        <w:rPr>
          <w:rFonts w:ascii="Tahoma" w:hAnsi="Tahoma" w:cs="Tahoma"/>
        </w:rPr>
        <w:t xml:space="preserve"> </w:t>
      </w:r>
      <w:r w:rsidRPr="009B2E31">
        <w:rPr>
          <w:rFonts w:ascii="Tahoma" w:hAnsi="Tahoma" w:cs="Tahoma"/>
          <w:lang w:val="en-GB"/>
        </w:rPr>
        <w:t>Handbook</w:t>
      </w:r>
      <w:r w:rsidRPr="009B2E31">
        <w:rPr>
          <w:rFonts w:ascii="Tahoma" w:hAnsi="Tahoma" w:cs="Tahoma"/>
        </w:rPr>
        <w:t xml:space="preserve">: </w:t>
      </w:r>
      <w:r w:rsidRPr="009B2E31">
        <w:rPr>
          <w:rFonts w:ascii="Tahoma" w:hAnsi="Tahoma" w:cs="Tahoma"/>
          <w:lang w:val="en-GB"/>
        </w:rPr>
        <w:t>Risk</w:t>
      </w:r>
      <w:r w:rsidRPr="009B2E31">
        <w:rPr>
          <w:rFonts w:ascii="Tahoma" w:hAnsi="Tahoma" w:cs="Tahoma"/>
        </w:rPr>
        <w:t xml:space="preserve"> </w:t>
      </w:r>
      <w:r w:rsidRPr="009B2E31">
        <w:rPr>
          <w:rFonts w:ascii="Tahoma" w:hAnsi="Tahoma" w:cs="Tahoma"/>
          <w:lang w:val="en-GB"/>
        </w:rPr>
        <w:t>Characterization</w:t>
      </w:r>
      <w:r w:rsidRPr="009B2E31">
        <w:rPr>
          <w:rFonts w:ascii="Tahoma" w:hAnsi="Tahoma" w:cs="Tahoma"/>
        </w:rPr>
        <w:t xml:space="preserve">, 2000, σ. 51 (όπου τονίζεται ότι </w:t>
      </w:r>
      <w:r w:rsidRPr="0027468F">
        <w:rPr>
          <w:rFonts w:ascii="Tahoma" w:hAnsi="Tahoma" w:cs="Tahoma"/>
        </w:rPr>
        <w:t>‘</w:t>
      </w:r>
      <w:r w:rsidRPr="009B2E31">
        <w:rPr>
          <w:rFonts w:ascii="Tahoma" w:hAnsi="Tahoma" w:cs="Tahoma"/>
        </w:rPr>
        <w:t>‘η επιστημονική εκτίμηση του κινδύνου προσφέρει τη στερεή επιστημονική βάση για τη λήψη της απόφασης</w:t>
      </w:r>
      <w:r w:rsidRPr="0027468F">
        <w:rPr>
          <w:rFonts w:ascii="Tahoma" w:hAnsi="Tahoma" w:cs="Tahoma"/>
        </w:rPr>
        <w:t>’</w:t>
      </w:r>
      <w:r w:rsidRPr="009B2E31">
        <w:rPr>
          <w:rFonts w:ascii="Tahoma" w:hAnsi="Tahoma" w:cs="Tahoma"/>
        </w:rPr>
        <w:t>’.)</w:t>
      </w:r>
    </w:p>
  </w:footnote>
  <w:footnote w:id="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w:t>
      </w:r>
      <w:r w:rsidRPr="009B2E31">
        <w:rPr>
          <w:rFonts w:ascii="Tahoma" w:hAnsi="Tahoma" w:cs="Tahoma"/>
          <w:lang w:val="en-GB"/>
        </w:rPr>
        <w:t xml:space="preserve"> </w:t>
      </w:r>
      <w:r w:rsidRPr="009B2E31">
        <w:rPr>
          <w:rFonts w:ascii="Tahoma" w:hAnsi="Tahoma" w:cs="Tahoma"/>
        </w:rPr>
        <w:t>πολλών</w:t>
      </w:r>
      <w:r w:rsidRPr="009B2E31">
        <w:rPr>
          <w:rFonts w:ascii="Tahoma" w:hAnsi="Tahoma" w:cs="Tahoma"/>
          <w:lang w:val="en-GB"/>
        </w:rPr>
        <w:t xml:space="preserve">, </w:t>
      </w:r>
      <w:r w:rsidRPr="00B07D53">
        <w:rPr>
          <w:rFonts w:ascii="Tahoma" w:hAnsi="Tahoma" w:cs="Tahoma"/>
          <w:i/>
          <w:lang w:val="en-US"/>
        </w:rPr>
        <w:t>E.K. Silbergeld</w:t>
      </w:r>
      <w:r w:rsidRPr="009B2E31">
        <w:rPr>
          <w:rFonts w:ascii="Tahoma" w:hAnsi="Tahoma" w:cs="Tahoma"/>
          <w:lang w:val="en-US"/>
        </w:rPr>
        <w:t xml:space="preserve">, “Risk Assessment and Risk Management: An uneasy Divorce”, in: </w:t>
      </w:r>
      <w:r w:rsidRPr="00B07D53">
        <w:rPr>
          <w:rFonts w:ascii="Tahoma" w:hAnsi="Tahoma" w:cs="Tahoma"/>
          <w:i/>
          <w:lang w:val="en-US"/>
        </w:rPr>
        <w:t>D. Mayo, R. Hollander</w:t>
      </w:r>
      <w:r w:rsidRPr="009B2E31">
        <w:rPr>
          <w:rFonts w:ascii="Tahoma" w:hAnsi="Tahoma" w:cs="Tahoma"/>
          <w:lang w:val="en-US"/>
        </w:rPr>
        <w:t xml:space="preserve"> (eds), Acceptable Evidence,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99.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επίσης</w:t>
      </w:r>
      <w:r w:rsidRPr="009B2E31">
        <w:rPr>
          <w:rFonts w:ascii="Tahoma" w:hAnsi="Tahoma" w:cs="Tahoma"/>
          <w:lang w:val="en-GB"/>
        </w:rPr>
        <w:t xml:space="preserve">,  </w:t>
      </w:r>
      <w:r w:rsidRPr="002C4C48">
        <w:rPr>
          <w:rFonts w:ascii="Tahoma" w:hAnsi="Tahoma" w:cs="Tahoma"/>
          <w:i/>
          <w:lang w:val="en-GB"/>
        </w:rPr>
        <w:t>US</w:t>
      </w:r>
      <w:r w:rsidRPr="002C4C48">
        <w:rPr>
          <w:rFonts w:ascii="Tahoma" w:hAnsi="Tahoma" w:cs="Tahoma"/>
          <w:i/>
          <w:lang w:val="en-US"/>
        </w:rPr>
        <w:t xml:space="preserve"> National Research Council</w:t>
      </w:r>
      <w:r w:rsidRPr="009B2E31">
        <w:rPr>
          <w:rFonts w:ascii="Tahoma" w:hAnsi="Tahoma" w:cs="Tahoma"/>
          <w:lang w:val="en-US"/>
        </w:rPr>
        <w:t>,</w:t>
      </w:r>
      <w:r w:rsidRPr="009B2E31">
        <w:rPr>
          <w:rFonts w:ascii="Tahoma" w:hAnsi="Tahoma" w:cs="Tahoma"/>
          <w:lang w:val="en-GB"/>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34.</w:t>
      </w:r>
    </w:p>
  </w:footnote>
  <w:footnote w:id="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07D53">
        <w:rPr>
          <w:rFonts w:ascii="Tahoma" w:hAnsi="Tahoma" w:cs="Tahoma"/>
          <w:i/>
          <w:lang w:val="en-US"/>
        </w:rPr>
        <w:t>C. Coglianese, G.E. Marchant</w:t>
      </w:r>
      <w:r w:rsidRPr="009B2E31">
        <w:rPr>
          <w:rFonts w:ascii="Tahoma" w:hAnsi="Tahoma" w:cs="Tahoma"/>
          <w:lang w:val="en-US"/>
        </w:rPr>
        <w:t xml:space="preserve">, “Shifting Sands: The Limits of Science in Setting Risk Standards”, </w:t>
      </w:r>
      <w:smartTag w:uri="urn:schemas-microsoft-com:office:smarttags" w:element="place">
        <w:smartTag w:uri="urn:schemas-microsoft-com:office:smarttags" w:element="PlaceType">
          <w:r w:rsidRPr="009B2E31">
            <w:rPr>
              <w:rFonts w:ascii="Tahoma" w:hAnsi="Tahoma" w:cs="Tahoma"/>
              <w:lang w:val="en-US"/>
            </w:rPr>
            <w:t>University</w:t>
          </w:r>
        </w:smartTag>
        <w:r w:rsidRPr="009B2E31">
          <w:rPr>
            <w:rFonts w:ascii="Tahoma" w:hAnsi="Tahoma" w:cs="Tahoma"/>
            <w:lang w:val="en-US"/>
          </w:rPr>
          <w:t xml:space="preserve"> of </w:t>
        </w:r>
        <w:smartTag w:uri="urn:schemas-microsoft-com:office:smarttags" w:element="PlaceName">
          <w:r w:rsidRPr="009B2E31">
            <w:rPr>
              <w:rFonts w:ascii="Tahoma" w:hAnsi="Tahoma" w:cs="Tahoma"/>
              <w:lang w:val="en-US"/>
            </w:rPr>
            <w:t>Pennsylvania</w:t>
          </w:r>
        </w:smartTag>
      </w:smartTag>
      <w:r w:rsidRPr="009B2E31">
        <w:rPr>
          <w:rFonts w:ascii="Tahoma" w:hAnsi="Tahoma" w:cs="Tahoma"/>
          <w:lang w:val="en-US"/>
        </w:rPr>
        <w:t xml:space="preserve"> Law Revi</w:t>
      </w:r>
      <w:r>
        <w:rPr>
          <w:rFonts w:ascii="Tahoma" w:hAnsi="Tahoma" w:cs="Tahoma"/>
          <w:lang w:val="en-US"/>
        </w:rPr>
        <w:t>ew, Vol. 152(4), 2004,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1262. </w:t>
      </w:r>
      <w:r w:rsidRPr="00B07D53">
        <w:rPr>
          <w:rFonts w:ascii="Tahoma" w:hAnsi="Tahoma" w:cs="Tahoma"/>
          <w:i/>
          <w:lang w:val="en-US"/>
        </w:rPr>
        <w:t>M.E. Shere</w:t>
      </w:r>
      <w:r w:rsidRPr="009B2E31">
        <w:rPr>
          <w:rFonts w:ascii="Tahoma" w:hAnsi="Tahoma" w:cs="Tahoma"/>
          <w:lang w:val="en-US"/>
        </w:rPr>
        <w:t xml:space="preserve"> “The Myth of Meaningful Environmental Risk Assessment”, Harvard Environmental Law</w:t>
      </w:r>
      <w:r>
        <w:rPr>
          <w:rFonts w:ascii="Tahoma" w:hAnsi="Tahoma" w:cs="Tahoma"/>
          <w:lang w:val="en-US"/>
        </w:rPr>
        <w:t xml:space="preserve"> Review, Vol. 19, 1995,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417-420. </w:t>
      </w:r>
      <w:r w:rsidRPr="00B07D53">
        <w:rPr>
          <w:rFonts w:ascii="Tahoma" w:hAnsi="Tahoma" w:cs="Tahoma"/>
          <w:i/>
          <w:lang w:val="en-GB"/>
        </w:rPr>
        <w:t>W.E. Wagner</w:t>
      </w:r>
      <w:r w:rsidRPr="009B2E31">
        <w:rPr>
          <w:rFonts w:ascii="Tahoma" w:hAnsi="Tahoma" w:cs="Tahoma"/>
          <w:lang w:val="en-GB"/>
        </w:rPr>
        <w:t xml:space="preserve">, “The Science Charade in Toxic Risk Regulation”, Columbia </w:t>
      </w:r>
      <w:r>
        <w:rPr>
          <w:rFonts w:ascii="Tahoma" w:hAnsi="Tahoma" w:cs="Tahoma"/>
          <w:lang w:val="en-GB"/>
        </w:rPr>
        <w:t>Law Review, Vol. 95, 1995,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1615.</w:t>
      </w:r>
    </w:p>
  </w:footnote>
  <w:footnote w:id="9">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US"/>
        </w:rPr>
        <w:t xml:space="preserve"> </w:t>
      </w:r>
      <w:r w:rsidRPr="00D32C82">
        <w:rPr>
          <w:rFonts w:ascii="Tahoma" w:hAnsi="Tahoma" w:cs="Tahoma"/>
          <w:bCs/>
          <w:i/>
          <w:lang w:val="en-US"/>
        </w:rPr>
        <w:t>G. Charnley, E. Donald Elliott</w:t>
      </w:r>
      <w:r w:rsidRPr="009B2E31">
        <w:rPr>
          <w:rFonts w:ascii="Tahoma" w:hAnsi="Tahoma" w:cs="Tahoma"/>
          <w:lang w:val="en-US"/>
        </w:rPr>
        <w:t>, “Risk versus Precaution: Environmental Law and Public Health Protection”</w:t>
      </w:r>
      <w:r>
        <w:rPr>
          <w:rFonts w:ascii="Tahoma" w:hAnsi="Tahoma" w:cs="Tahoma"/>
          <w:lang w:val="en-US"/>
        </w:rPr>
        <w:t>,</w:t>
      </w:r>
      <w:r w:rsidRPr="009B2E31">
        <w:rPr>
          <w:rFonts w:ascii="Tahoma" w:hAnsi="Tahoma" w:cs="Tahoma"/>
          <w:lang w:val="en-US"/>
        </w:rPr>
        <w:t xml:space="preserve"> Environmental Law Reporter</w:t>
      </w:r>
      <w:r w:rsidRPr="009B2E31">
        <w:rPr>
          <w:rFonts w:ascii="Tahoma" w:hAnsi="Tahoma" w:cs="Tahoma"/>
          <w:lang w:val="en-GB"/>
        </w:rPr>
        <w:t>, Vol. 32(3), 2002,</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10363.</w:t>
      </w:r>
      <w:r w:rsidRPr="009B2E31">
        <w:rPr>
          <w:rFonts w:ascii="Tahoma" w:hAnsi="Tahoma" w:cs="Tahoma"/>
          <w:lang w:val="en-GB"/>
        </w:rPr>
        <w:t xml:space="preserve"> </w:t>
      </w:r>
      <w:r w:rsidRPr="00D32C82">
        <w:rPr>
          <w:rFonts w:ascii="Tahoma" w:hAnsi="Tahoma" w:cs="Tahoma"/>
          <w:i/>
          <w:lang w:val="en-GB"/>
        </w:rPr>
        <w:t>T.O. McGarity</w:t>
      </w:r>
      <w:r w:rsidRPr="009B2E31">
        <w:rPr>
          <w:rFonts w:ascii="Tahoma" w:hAnsi="Tahoma" w:cs="Tahoma"/>
          <w:lang w:val="en-GB"/>
        </w:rPr>
        <w:t xml:space="preserve">, “The Story of the Benzene Case: Judicially Imposed Regulatory Reform through Risk Assessment”, in: </w:t>
      </w:r>
      <w:r w:rsidRPr="00D32C82">
        <w:rPr>
          <w:rFonts w:ascii="Tahoma" w:hAnsi="Tahoma" w:cs="Tahoma"/>
          <w:i/>
          <w:lang w:val="en-GB"/>
        </w:rPr>
        <w:t>R.J. Lazarus, O.A. Houck</w:t>
      </w:r>
      <w:r w:rsidRPr="009B2E31">
        <w:rPr>
          <w:rFonts w:ascii="Tahoma" w:hAnsi="Tahoma" w:cs="Tahoma"/>
          <w:lang w:val="en-GB"/>
        </w:rPr>
        <w:t xml:space="preserve"> (eds) Environmental Law Stories, </w:t>
      </w:r>
      <w:smartTag w:uri="urn:schemas-microsoft-com:office:smarttags" w:element="State">
        <w:smartTag w:uri="urn:schemas-microsoft-com:office:smarttags" w:element="place">
          <w:r w:rsidRPr="009B2E31">
            <w:rPr>
              <w:rFonts w:ascii="Tahoma" w:hAnsi="Tahoma" w:cs="Tahoma"/>
              <w:lang w:val="en-GB"/>
            </w:rPr>
            <w:t>New York</w:t>
          </w:r>
        </w:smartTag>
      </w:smartTag>
      <w:r w:rsidRPr="009B2E31">
        <w:rPr>
          <w:rFonts w:ascii="Tahoma" w:hAnsi="Tahoma" w:cs="Tahoma"/>
          <w:lang w:val="en-GB"/>
        </w:rPr>
        <w:t>, F</w:t>
      </w:r>
      <w:r>
        <w:rPr>
          <w:rFonts w:ascii="Tahoma" w:hAnsi="Tahoma" w:cs="Tahoma"/>
          <w:lang w:val="en-GB"/>
        </w:rPr>
        <w:t>oundation Press,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165.</w:t>
      </w:r>
    </w:p>
  </w:footnote>
  <w:footnote w:id="10">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32C82">
        <w:rPr>
          <w:rFonts w:ascii="Tahoma" w:hAnsi="Tahoma" w:cs="Tahoma"/>
          <w:i/>
          <w:lang w:val="en-US"/>
        </w:rPr>
        <w:t>J.S. Applegate</w:t>
      </w:r>
      <w:r w:rsidRPr="009B2E31">
        <w:rPr>
          <w:rFonts w:ascii="Tahoma" w:hAnsi="Tahoma" w:cs="Tahoma"/>
          <w:lang w:val="en-US"/>
        </w:rPr>
        <w:t xml:space="preserve">, “The Perils of Unreasonable Risk: Information, Regulatory Policy, and Toxic Substances Control”, </w:t>
      </w:r>
      <w:smartTag w:uri="urn:schemas-microsoft-com:office:smarttags" w:element="City">
        <w:smartTag w:uri="urn:schemas-microsoft-com:office:smarttags" w:element="place">
          <w:r w:rsidRPr="009B2E31">
            <w:rPr>
              <w:rFonts w:ascii="Tahoma" w:hAnsi="Tahoma" w:cs="Tahoma"/>
              <w:lang w:val="en-US"/>
            </w:rPr>
            <w:t>Columbia</w:t>
          </w:r>
        </w:smartTag>
      </w:smartTag>
      <w:r w:rsidRPr="009B2E31">
        <w:rPr>
          <w:rFonts w:ascii="Tahoma" w:hAnsi="Tahoma" w:cs="Tahoma"/>
          <w:lang w:val="en-US"/>
        </w:rPr>
        <w:t xml:space="preserve"> Law</w:t>
      </w:r>
      <w:r>
        <w:rPr>
          <w:rFonts w:ascii="Tahoma" w:hAnsi="Tahoma" w:cs="Tahoma"/>
          <w:lang w:val="en-US"/>
        </w:rPr>
        <w:t xml:space="preserve"> Review, Vol. 91, 1991,</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280-282.</w:t>
      </w:r>
    </w:p>
  </w:footnote>
  <w:footnote w:id="11">
    <w:p w:rsidR="00ED6DB8" w:rsidRPr="000354FC" w:rsidRDefault="00ED6DB8" w:rsidP="00ED6DB8">
      <w:pPr>
        <w:pStyle w:val="FootnoteText"/>
        <w:jc w:val="both"/>
        <w:rPr>
          <w:rFonts w:ascii="Tahoma" w:hAnsi="Tahoma" w:cs="Tahoma"/>
          <w:lang w:val="en-US" w:bidi="th-TH"/>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γενικά</w:t>
      </w:r>
      <w:r w:rsidRPr="009B2E31">
        <w:rPr>
          <w:rFonts w:ascii="Tahoma" w:hAnsi="Tahoma" w:cs="Tahoma"/>
          <w:lang w:val="en-GB"/>
        </w:rPr>
        <w:t xml:space="preserve">, </w:t>
      </w:r>
      <w:r w:rsidRPr="00D32C82">
        <w:rPr>
          <w:rFonts w:ascii="Tahoma" w:hAnsi="Tahoma" w:cs="Tahoma"/>
          <w:i/>
          <w:lang w:val="en-GB"/>
        </w:rPr>
        <w:t>M. O’Brien</w:t>
      </w:r>
      <w:r w:rsidRPr="009B2E31">
        <w:rPr>
          <w:rFonts w:ascii="Tahoma" w:hAnsi="Tahoma" w:cs="Tahoma"/>
          <w:lang w:val="en-GB"/>
        </w:rPr>
        <w:t xml:space="preserve">, Making Better Environmental Decisions: An Alternative to Risk Assessment, </w:t>
      </w:r>
      <w:smartTag w:uri="urn:schemas-microsoft-com:office:smarttags" w:element="place">
        <w:smartTag w:uri="urn:schemas-microsoft-com:office:smarttags" w:element="City">
          <w:r w:rsidRPr="009B2E31">
            <w:rPr>
              <w:rFonts w:ascii="Tahoma" w:hAnsi="Tahoma" w:cs="Tahoma"/>
              <w:lang w:val="en-GB"/>
            </w:rPr>
            <w:t>Cambridge</w:t>
          </w:r>
        </w:smartTag>
        <w:r w:rsidRPr="009B2E31">
          <w:rPr>
            <w:rFonts w:ascii="Tahoma" w:hAnsi="Tahoma" w:cs="Tahoma"/>
            <w:lang w:val="en-GB"/>
          </w:rPr>
          <w:t xml:space="preserve"> </w:t>
        </w:r>
        <w:smartTag w:uri="urn:schemas-microsoft-com:office:smarttags" w:element="State">
          <w:r w:rsidRPr="009B2E31">
            <w:rPr>
              <w:rFonts w:ascii="Tahoma" w:hAnsi="Tahoma" w:cs="Tahoma"/>
              <w:lang w:val="en-GB"/>
            </w:rPr>
            <w:t>MA</w:t>
          </w:r>
        </w:smartTag>
      </w:smartTag>
      <w:r w:rsidRPr="009B2E31">
        <w:rPr>
          <w:rFonts w:ascii="Tahoma" w:hAnsi="Tahoma" w:cs="Tahoma"/>
          <w:lang w:val="en-GB"/>
        </w:rPr>
        <w:t xml:space="preserve">, MIT Press, 2000. </w:t>
      </w:r>
      <w:smartTag w:uri="urn:schemas-microsoft-com:office:smarttags" w:element="country-region">
        <w:smartTag w:uri="urn:schemas-microsoft-com:office:smarttags" w:element="place">
          <w:r w:rsidRPr="00D32C82">
            <w:rPr>
              <w:rFonts w:ascii="Tahoma" w:hAnsi="Tahoma" w:cs="Tahoma"/>
              <w:i/>
              <w:lang w:val="en-GB"/>
            </w:rPr>
            <w:t>S.A.</w:t>
          </w:r>
        </w:smartTag>
      </w:smartTag>
      <w:r w:rsidRPr="00D32C82">
        <w:rPr>
          <w:rFonts w:ascii="Tahoma" w:hAnsi="Tahoma" w:cs="Tahoma"/>
          <w:i/>
          <w:lang w:val="en-GB"/>
        </w:rPr>
        <w:t xml:space="preserve"> Shapiro, R.L. Glicksman</w:t>
      </w:r>
      <w:r w:rsidRPr="009B2E31">
        <w:rPr>
          <w:rFonts w:ascii="Tahoma" w:hAnsi="Tahoma" w:cs="Tahoma"/>
          <w:lang w:val="en-GB"/>
        </w:rPr>
        <w:t xml:space="preserve">, Risk Regulation at Risk, </w:t>
      </w:r>
      <w:smartTag w:uri="urn:schemas-microsoft-com:office:smarttags" w:element="place">
        <w:smartTag w:uri="urn:schemas-microsoft-com:office:smarttags" w:element="City">
          <w:r w:rsidRPr="009B2E31">
            <w:rPr>
              <w:rFonts w:ascii="Tahoma" w:hAnsi="Tahoma" w:cs="Tahoma"/>
              <w:lang w:val="en-GB"/>
            </w:rPr>
            <w:t>Stanford</w:t>
          </w:r>
        </w:smartTag>
        <w:r w:rsidRPr="009B2E31">
          <w:rPr>
            <w:rFonts w:ascii="Tahoma" w:hAnsi="Tahoma" w:cs="Tahoma"/>
            <w:lang w:val="en-GB"/>
          </w:rPr>
          <w:t xml:space="preserve"> </w:t>
        </w:r>
        <w:smartTag w:uri="urn:schemas-microsoft-com:office:smarttags" w:element="State">
          <w:r w:rsidRPr="009B2E31">
            <w:rPr>
              <w:rFonts w:ascii="Tahoma" w:hAnsi="Tahoma" w:cs="Tahoma"/>
              <w:lang w:val="en-GB"/>
            </w:rPr>
            <w:t>CA</w:t>
          </w:r>
        </w:smartTag>
      </w:smartTag>
      <w:r w:rsidRPr="009B2E31">
        <w:rPr>
          <w:rFonts w:ascii="Tahoma" w:hAnsi="Tahoma" w:cs="Tahoma"/>
          <w:lang w:val="en-GB"/>
        </w:rPr>
        <w:t xml:space="preserve">, </w:t>
      </w:r>
      <w:smartTag w:uri="urn:schemas-microsoft-com:office:smarttags" w:element="place">
        <w:smartTag w:uri="urn:schemas-microsoft-com:office:smarttags" w:element="PlaceName">
          <w:r w:rsidRPr="009B2E31">
            <w:rPr>
              <w:rFonts w:ascii="Tahoma" w:hAnsi="Tahoma" w:cs="Tahoma"/>
              <w:lang w:val="en-GB"/>
            </w:rPr>
            <w:t>Stanford</w:t>
          </w:r>
        </w:smartTag>
        <w:r w:rsidRPr="009B2E31">
          <w:rPr>
            <w:rFonts w:ascii="Tahoma" w:hAnsi="Tahoma" w:cs="Tahoma"/>
            <w:lang w:val="en-GB"/>
          </w:rPr>
          <w:t xml:space="preserve"> </w:t>
        </w:r>
        <w:smartTag w:uri="urn:schemas-microsoft-com:office:smarttags" w:element="PlaceType">
          <w:r w:rsidRPr="009B2E31">
            <w:rPr>
              <w:rFonts w:ascii="Tahoma" w:hAnsi="Tahoma" w:cs="Tahoma"/>
              <w:lang w:val="en-GB"/>
            </w:rPr>
            <w:t>University</w:t>
          </w:r>
        </w:smartTag>
      </w:smartTag>
      <w:r w:rsidRPr="009B2E31">
        <w:rPr>
          <w:rFonts w:ascii="Tahoma" w:hAnsi="Tahoma" w:cs="Tahoma"/>
          <w:lang w:val="en-GB"/>
        </w:rPr>
        <w:t xml:space="preserve"> Press, 2003. </w:t>
      </w:r>
      <w:r w:rsidRPr="00D32C82">
        <w:rPr>
          <w:rFonts w:ascii="Tahoma" w:hAnsi="Tahoma" w:cs="Tahoma"/>
          <w:i/>
          <w:lang w:val="en-GB"/>
        </w:rPr>
        <w:t>T.O. McGarity, S. Shapiro, D. Bollier</w:t>
      </w:r>
      <w:r w:rsidRPr="009B2E31">
        <w:rPr>
          <w:rFonts w:ascii="Tahoma" w:hAnsi="Tahoma" w:cs="Tahoma"/>
          <w:lang w:val="en-GB"/>
        </w:rPr>
        <w:t xml:space="preserve"> (eds), Sophisticated Sabotage, Washington D.C., Environmental Law Institute, 2004.</w:t>
      </w:r>
      <w:r w:rsidRPr="008458D0">
        <w:rPr>
          <w:rFonts w:ascii="Tahoma" w:hAnsi="Tahoma" w:cs="Tahoma"/>
          <w:lang w:val="en-US"/>
        </w:rPr>
        <w:t xml:space="preserve"> </w:t>
      </w:r>
      <w:r>
        <w:rPr>
          <w:rFonts w:ascii="Tahoma" w:hAnsi="Tahoma" w:cs="Tahoma"/>
        </w:rPr>
        <w:t xml:space="preserve">Αξίζει να σημειώσουμε ότι το ΕΟ του ΠΟΕ σε μια ενδιαφέρουσα απόφασή του, επισημαίνει ότι η εκτίμηση του κινδύνου δεν χρειάζεται να αποτυπώνεται με ποσοτικούς όρους ή σαν </w:t>
      </w:r>
      <w:r>
        <w:rPr>
          <w:rFonts w:ascii="Tahoma" w:hAnsi="Tahoma" w:cs="Tahoma"/>
          <w:lang w:val="en-US"/>
        </w:rPr>
        <w:t>minimum</w:t>
      </w:r>
      <w:r w:rsidRPr="008458D0">
        <w:rPr>
          <w:rFonts w:ascii="Tahoma" w:hAnsi="Tahoma" w:cs="Tahoma"/>
        </w:rPr>
        <w:t xml:space="preserve"> </w:t>
      </w:r>
      <w:r>
        <w:rPr>
          <w:rFonts w:ascii="Tahoma" w:hAnsi="Tahoma" w:cs="Tahoma"/>
          <w:lang w:bidi="th-TH"/>
        </w:rPr>
        <w:t>ποσοτικοποίηση του επιπέδου κινδύνου. Βλ</w:t>
      </w:r>
      <w:r w:rsidRPr="000354FC">
        <w:rPr>
          <w:rFonts w:ascii="Tahoma" w:hAnsi="Tahoma" w:cs="Tahoma"/>
          <w:lang w:val="en-US" w:bidi="th-TH"/>
        </w:rPr>
        <w:t xml:space="preserve">., </w:t>
      </w:r>
      <w:r>
        <w:rPr>
          <w:lang w:val="en-US"/>
        </w:rPr>
        <w:t>Report</w:t>
      </w:r>
      <w:r w:rsidRPr="000354FC">
        <w:rPr>
          <w:lang w:val="en-US"/>
        </w:rPr>
        <w:t xml:space="preserve"> </w:t>
      </w:r>
      <w:r>
        <w:rPr>
          <w:lang w:val="en-US"/>
        </w:rPr>
        <w:t>of</w:t>
      </w:r>
      <w:r w:rsidRPr="000354FC">
        <w:rPr>
          <w:lang w:val="en-US"/>
        </w:rPr>
        <w:t xml:space="preserve"> </w:t>
      </w:r>
      <w:r>
        <w:rPr>
          <w:lang w:val="en-US"/>
        </w:rPr>
        <w:t>the</w:t>
      </w:r>
      <w:r w:rsidRPr="000354FC">
        <w:rPr>
          <w:lang w:val="en-US"/>
        </w:rPr>
        <w:t xml:space="preserve"> </w:t>
      </w:r>
      <w:r w:rsidRPr="000D0C55">
        <w:rPr>
          <w:rFonts w:ascii="Tahoma" w:hAnsi="Tahoma" w:cs="Tahoma"/>
          <w:lang w:val="en-US"/>
        </w:rPr>
        <w:t>Appellate</w:t>
      </w:r>
      <w:r w:rsidRPr="000354FC">
        <w:rPr>
          <w:rFonts w:ascii="Tahoma" w:hAnsi="Tahoma" w:cs="Tahoma"/>
          <w:lang w:val="en-US"/>
        </w:rPr>
        <w:t xml:space="preserve"> </w:t>
      </w:r>
      <w:r w:rsidRPr="000D0C55">
        <w:rPr>
          <w:rFonts w:ascii="Tahoma" w:hAnsi="Tahoma" w:cs="Tahoma"/>
          <w:lang w:val="en-US"/>
        </w:rPr>
        <w:t>Body</w:t>
      </w:r>
      <w:r w:rsidRPr="000354FC">
        <w:rPr>
          <w:rFonts w:ascii="Tahoma" w:hAnsi="Tahoma" w:cs="Tahoma"/>
          <w:lang w:val="en-US"/>
        </w:rPr>
        <w:t xml:space="preserve">, </w:t>
      </w:r>
      <w:r w:rsidRPr="000D0C55">
        <w:rPr>
          <w:rFonts w:ascii="Tahoma" w:hAnsi="Tahoma" w:cs="Tahoma"/>
          <w:lang w:val="en-US"/>
        </w:rPr>
        <w:t>United</w:t>
      </w:r>
      <w:r w:rsidRPr="000354FC">
        <w:rPr>
          <w:rFonts w:ascii="Tahoma" w:hAnsi="Tahoma" w:cs="Tahoma"/>
          <w:lang w:val="en-US"/>
        </w:rPr>
        <w:t xml:space="preserve"> </w:t>
      </w:r>
      <w:r w:rsidRPr="000D0C55">
        <w:rPr>
          <w:rFonts w:ascii="Tahoma" w:hAnsi="Tahoma" w:cs="Tahoma"/>
          <w:lang w:val="en-US"/>
        </w:rPr>
        <w:t>States</w:t>
      </w:r>
      <w:r w:rsidRPr="000354FC">
        <w:rPr>
          <w:rFonts w:ascii="Tahoma" w:hAnsi="Tahoma" w:cs="Tahoma"/>
          <w:lang w:val="en-US"/>
        </w:rPr>
        <w:t>-</w:t>
      </w:r>
      <w:r w:rsidRPr="000D0C55">
        <w:rPr>
          <w:rFonts w:ascii="Tahoma" w:hAnsi="Tahoma" w:cs="Tahoma"/>
          <w:lang w:val="en-US"/>
        </w:rPr>
        <w:t>Continued</w:t>
      </w:r>
      <w:r w:rsidRPr="000354FC">
        <w:rPr>
          <w:rFonts w:ascii="Tahoma" w:hAnsi="Tahoma" w:cs="Tahoma"/>
          <w:lang w:val="en-US"/>
        </w:rPr>
        <w:t xml:space="preserve"> </w:t>
      </w:r>
      <w:r w:rsidRPr="000D0C55">
        <w:rPr>
          <w:rFonts w:ascii="Tahoma" w:hAnsi="Tahoma" w:cs="Tahoma"/>
          <w:lang w:val="en-US"/>
        </w:rPr>
        <w:t>Suspension</w:t>
      </w:r>
      <w:r w:rsidRPr="000354FC">
        <w:rPr>
          <w:rFonts w:ascii="Tahoma" w:hAnsi="Tahoma" w:cs="Tahoma"/>
          <w:lang w:val="en-US"/>
        </w:rPr>
        <w:t xml:space="preserve"> </w:t>
      </w:r>
      <w:r w:rsidRPr="000D0C55">
        <w:rPr>
          <w:rFonts w:ascii="Tahoma" w:hAnsi="Tahoma" w:cs="Tahoma"/>
          <w:lang w:val="en-US"/>
        </w:rPr>
        <w:t>of</w:t>
      </w:r>
      <w:r w:rsidRPr="000354FC">
        <w:rPr>
          <w:rFonts w:ascii="Tahoma" w:hAnsi="Tahoma" w:cs="Tahoma"/>
          <w:lang w:val="en-US"/>
        </w:rPr>
        <w:t xml:space="preserve"> </w:t>
      </w:r>
      <w:r w:rsidRPr="000D0C55">
        <w:rPr>
          <w:rFonts w:ascii="Tahoma" w:hAnsi="Tahoma" w:cs="Tahoma"/>
          <w:lang w:val="en-US"/>
        </w:rPr>
        <w:t>Obligations</w:t>
      </w:r>
      <w:r w:rsidRPr="000354FC">
        <w:rPr>
          <w:rFonts w:ascii="Tahoma" w:hAnsi="Tahoma" w:cs="Tahoma"/>
          <w:lang w:val="en-US"/>
        </w:rPr>
        <w:t xml:space="preserve"> </w:t>
      </w:r>
      <w:r w:rsidRPr="000D0C55">
        <w:rPr>
          <w:rFonts w:ascii="Tahoma" w:hAnsi="Tahoma" w:cs="Tahoma"/>
          <w:lang w:val="en-US"/>
        </w:rPr>
        <w:t>in</w:t>
      </w:r>
      <w:r w:rsidRPr="000354FC">
        <w:rPr>
          <w:rFonts w:ascii="Tahoma" w:hAnsi="Tahoma" w:cs="Tahoma"/>
          <w:lang w:val="en-US"/>
        </w:rPr>
        <w:t xml:space="preserve"> </w:t>
      </w:r>
      <w:r w:rsidRPr="000D0C55">
        <w:rPr>
          <w:rFonts w:ascii="Tahoma" w:hAnsi="Tahoma" w:cs="Tahoma"/>
          <w:lang w:val="en-US"/>
        </w:rPr>
        <w:t>the</w:t>
      </w:r>
      <w:r w:rsidRPr="000354FC">
        <w:rPr>
          <w:rFonts w:ascii="Tahoma" w:hAnsi="Tahoma" w:cs="Tahoma"/>
          <w:lang w:val="en-US"/>
        </w:rPr>
        <w:t xml:space="preserve"> </w:t>
      </w:r>
      <w:r w:rsidRPr="000D0C55">
        <w:rPr>
          <w:rFonts w:ascii="Tahoma" w:hAnsi="Tahoma" w:cs="Tahoma"/>
          <w:lang w:val="en-US"/>
        </w:rPr>
        <w:t>EC</w:t>
      </w:r>
      <w:r w:rsidRPr="000354FC">
        <w:rPr>
          <w:rFonts w:ascii="Tahoma" w:hAnsi="Tahoma" w:cs="Tahoma"/>
          <w:lang w:val="en-US"/>
        </w:rPr>
        <w:t>-</w:t>
      </w:r>
      <w:r>
        <w:rPr>
          <w:rFonts w:ascii="Tahoma" w:hAnsi="Tahoma" w:cs="Tahoma"/>
          <w:lang w:val="en-US"/>
        </w:rPr>
        <w:t>Hormones</w:t>
      </w:r>
      <w:r w:rsidRPr="000354FC">
        <w:rPr>
          <w:rFonts w:ascii="Tahoma" w:hAnsi="Tahoma" w:cs="Tahoma"/>
          <w:lang w:val="en-US"/>
        </w:rPr>
        <w:t xml:space="preserve"> </w:t>
      </w:r>
      <w:r>
        <w:rPr>
          <w:rFonts w:ascii="Tahoma" w:hAnsi="Tahoma" w:cs="Tahoma"/>
          <w:lang w:val="en-US"/>
        </w:rPr>
        <w:t>Dispute</w:t>
      </w:r>
      <w:r w:rsidRPr="000354FC">
        <w:rPr>
          <w:rFonts w:ascii="Tahoma" w:hAnsi="Tahoma" w:cs="Tahoma"/>
          <w:lang w:val="en-US"/>
        </w:rPr>
        <w:t xml:space="preserve">, </w:t>
      </w:r>
      <w:r>
        <w:rPr>
          <w:rFonts w:ascii="Tahoma" w:hAnsi="Tahoma" w:cs="Tahoma"/>
          <w:lang w:val="en-US"/>
        </w:rPr>
        <w:t>WT</w:t>
      </w:r>
      <w:r w:rsidRPr="000354FC">
        <w:rPr>
          <w:rFonts w:ascii="Tahoma" w:hAnsi="Tahoma" w:cs="Tahoma"/>
          <w:lang w:val="en-US"/>
        </w:rPr>
        <w:t>/</w:t>
      </w:r>
      <w:r>
        <w:rPr>
          <w:rFonts w:ascii="Tahoma" w:hAnsi="Tahoma" w:cs="Tahoma"/>
          <w:lang w:val="en-US"/>
        </w:rPr>
        <w:t>DS</w:t>
      </w:r>
      <w:r w:rsidRPr="000354FC">
        <w:rPr>
          <w:rFonts w:ascii="Tahoma" w:hAnsi="Tahoma" w:cs="Tahoma"/>
          <w:lang w:val="en-US"/>
        </w:rPr>
        <w:t>320/</w:t>
      </w:r>
      <w:r>
        <w:rPr>
          <w:rFonts w:ascii="Tahoma" w:hAnsi="Tahoma" w:cs="Tahoma"/>
          <w:lang w:val="en-US"/>
        </w:rPr>
        <w:t>AB</w:t>
      </w:r>
      <w:r w:rsidRPr="000354FC">
        <w:rPr>
          <w:rFonts w:ascii="Tahoma" w:hAnsi="Tahoma" w:cs="Tahoma"/>
          <w:lang w:val="en-US"/>
        </w:rPr>
        <w:t>/</w:t>
      </w:r>
      <w:r>
        <w:rPr>
          <w:rFonts w:ascii="Tahoma" w:hAnsi="Tahoma" w:cs="Tahoma"/>
          <w:lang w:val="en-US"/>
        </w:rPr>
        <w:t>R</w:t>
      </w:r>
      <w:r w:rsidRPr="000354FC">
        <w:rPr>
          <w:rFonts w:ascii="Tahoma" w:hAnsi="Tahoma" w:cs="Tahoma"/>
          <w:lang w:val="en-US"/>
        </w:rPr>
        <w:t xml:space="preserve"> (16/10/2008), </w:t>
      </w:r>
      <w:r>
        <w:rPr>
          <w:rFonts w:ascii="Tahoma" w:hAnsi="Tahoma" w:cs="Tahoma"/>
        </w:rPr>
        <w:t>παρ</w:t>
      </w:r>
      <w:r w:rsidRPr="000354FC">
        <w:rPr>
          <w:rFonts w:ascii="Tahoma" w:hAnsi="Tahoma" w:cs="Tahoma"/>
          <w:lang w:val="en-US"/>
        </w:rPr>
        <w:t>. 569.</w:t>
      </w:r>
    </w:p>
  </w:footnote>
  <w:footnote w:id="12">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αντίστοιχα</w:t>
      </w:r>
      <w:r w:rsidRPr="009B2E31">
        <w:rPr>
          <w:rFonts w:ascii="Tahoma" w:hAnsi="Tahoma" w:cs="Tahoma"/>
          <w:lang w:val="en-GB"/>
        </w:rPr>
        <w:t xml:space="preserve">., </w:t>
      </w:r>
      <w:r w:rsidRPr="00B07D53">
        <w:rPr>
          <w:rFonts w:ascii="Tahoma" w:hAnsi="Tahoma" w:cs="Tahoma"/>
          <w:i/>
          <w:lang w:val="en-US"/>
        </w:rPr>
        <w:t>OECD/IPCS’s</w:t>
      </w:r>
      <w:r w:rsidRPr="009B2E31">
        <w:rPr>
          <w:rFonts w:ascii="Tahoma" w:hAnsi="Tahoma" w:cs="Tahoma"/>
          <w:lang w:val="en-US"/>
        </w:rPr>
        <w:t xml:space="preserve"> database on chemical risk assessments methodologies. </w:t>
      </w:r>
      <w:r w:rsidRPr="009B2E31">
        <w:rPr>
          <w:rFonts w:ascii="Tahoma" w:hAnsi="Tahoma" w:cs="Tahoma"/>
        </w:rPr>
        <w:t>Διαθέσιμο</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hyperlink r:id="rId2" w:history="1">
        <w:r w:rsidRPr="009B2E31">
          <w:rPr>
            <w:rStyle w:val="Hyperlink"/>
            <w:rFonts w:ascii="Tahoma" w:hAnsi="Tahoma" w:cs="Tahoma"/>
            <w:lang w:val="en-GB"/>
          </w:rPr>
          <w:t>http://webdomino1.oecd.org</w:t>
        </w:r>
        <w:r w:rsidRPr="009B2E31">
          <w:rPr>
            <w:rStyle w:val="Hyperlink"/>
            <w:rFonts w:ascii="Tahoma" w:hAnsi="Tahoma" w:cs="Tahoma"/>
            <w:lang w:val="en-US"/>
          </w:rPr>
          <w:t>/ehs/ipcs.nsf</w:t>
        </w:r>
      </w:hyperlink>
      <w:r w:rsidRPr="009B2E31">
        <w:rPr>
          <w:rFonts w:ascii="Tahoma" w:hAnsi="Tahoma" w:cs="Tahoma"/>
          <w:lang w:val="en-US"/>
        </w:rPr>
        <w:t xml:space="preserve"> .</w:t>
      </w:r>
      <w:r w:rsidRPr="009B2E31">
        <w:rPr>
          <w:rFonts w:ascii="Tahoma" w:hAnsi="Tahoma" w:cs="Tahoma"/>
          <w:lang w:val="en-GB"/>
        </w:rPr>
        <w:t xml:space="preserve"> </w:t>
      </w:r>
      <w:r w:rsidRPr="002C4C48">
        <w:rPr>
          <w:rFonts w:ascii="Tahoma" w:hAnsi="Tahoma" w:cs="Tahoma"/>
          <w:i/>
          <w:lang w:val="en-GB"/>
        </w:rPr>
        <w:t>Commission of the European C</w:t>
      </w:r>
      <w:r w:rsidRPr="002C4C48">
        <w:rPr>
          <w:rFonts w:ascii="Tahoma" w:hAnsi="Tahoma" w:cs="Tahoma"/>
          <w:i/>
          <w:lang w:val="en-US"/>
        </w:rPr>
        <w:t>ommunities</w:t>
      </w:r>
      <w:r w:rsidRPr="009B2E31">
        <w:rPr>
          <w:rFonts w:ascii="Tahoma" w:hAnsi="Tahoma" w:cs="Tahoma"/>
          <w:lang w:val="en-US"/>
        </w:rPr>
        <w:t>, First Report on the Harmonization of Risk Assessment Procedures (Health and Consumer Protection Directorate-General 2000.)</w:t>
      </w:r>
    </w:p>
  </w:footnote>
  <w:footnote w:id="13">
    <w:p w:rsidR="00ED6DB8" w:rsidRPr="003140C5"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GB"/>
        </w:rPr>
        <w:t xml:space="preserve">V. </w:t>
      </w:r>
      <w:r w:rsidRPr="00E35DEB">
        <w:rPr>
          <w:rFonts w:ascii="Tahoma" w:hAnsi="Tahoma" w:cs="Tahoma"/>
          <w:i/>
          <w:lang w:val="en-US"/>
        </w:rPr>
        <w:t>Heyvaert</w:t>
      </w:r>
      <w:r w:rsidRPr="009B2E31">
        <w:rPr>
          <w:rFonts w:ascii="Tahoma" w:hAnsi="Tahoma" w:cs="Tahoma"/>
          <w:lang w:val="en-US"/>
        </w:rPr>
        <w:t>, “The Changing Role of Science in Environmental Regulatory Decision-Making in the European Union”,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439-440.</w:t>
      </w:r>
      <w:r w:rsidRPr="009B2E31">
        <w:rPr>
          <w:rFonts w:ascii="Tahoma" w:hAnsi="Tahoma" w:cs="Tahoma"/>
          <w:lang w:val="en-US"/>
        </w:rPr>
        <w:t xml:space="preserve"> </w:t>
      </w:r>
      <w:r w:rsidRPr="00E35DEB">
        <w:rPr>
          <w:rFonts w:ascii="Tahoma" w:hAnsi="Tahoma" w:cs="Tahoma"/>
          <w:i/>
          <w:lang w:val="en-US"/>
        </w:rPr>
        <w:t>N. de Sadeleer</w:t>
      </w:r>
      <w:r w:rsidRPr="009B2E31">
        <w:rPr>
          <w:rFonts w:ascii="Tahoma" w:hAnsi="Tahoma" w:cs="Tahoma"/>
          <w:lang w:val="en-US"/>
        </w:rPr>
        <w:t>, “The Precautionary Principle in EC Health and environmental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Pr>
          <w:rFonts w:ascii="Tahoma" w:hAnsi="Tahoma" w:cs="Tahoma"/>
          <w:lang w:val="en-GB"/>
        </w:rPr>
        <w:t>. 151</w:t>
      </w:r>
      <w:r w:rsidRPr="003140C5">
        <w:rPr>
          <w:rFonts w:ascii="Tahoma" w:hAnsi="Tahoma" w:cs="Tahoma"/>
          <w:lang w:val="en-GB"/>
        </w:rPr>
        <w:t>.</w:t>
      </w:r>
      <w:r w:rsidRPr="009B2E31">
        <w:rPr>
          <w:rFonts w:ascii="Tahoma" w:hAnsi="Tahoma" w:cs="Tahoma"/>
          <w:lang w:val="en-GB"/>
        </w:rPr>
        <w:t xml:space="preserve"> </w:t>
      </w:r>
      <w:r w:rsidRPr="00E35DEB">
        <w:rPr>
          <w:rFonts w:ascii="Tahoma" w:hAnsi="Tahoma" w:cs="Tahoma"/>
          <w:i/>
          <w:lang w:val="en-GB"/>
        </w:rPr>
        <w:t>European Commission</w:t>
      </w:r>
      <w:r w:rsidRPr="009B2E31">
        <w:rPr>
          <w:rFonts w:ascii="Tahoma" w:hAnsi="Tahoma" w:cs="Tahoma"/>
          <w:lang w:val="en-US"/>
        </w:rPr>
        <w:t>, Health &amp; Consumer Protection Directorate-General, First Report on the harmonization of risk assessment procedures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παρ</w:t>
      </w:r>
      <w:r>
        <w:rPr>
          <w:rFonts w:ascii="Tahoma" w:hAnsi="Tahoma" w:cs="Tahoma"/>
          <w:lang w:val="en-GB"/>
        </w:rPr>
        <w:t>. 2.8.</w:t>
      </w:r>
      <w:r w:rsidRPr="009B2E31">
        <w:rPr>
          <w:rFonts w:ascii="Tahoma" w:hAnsi="Tahoma" w:cs="Tahoma"/>
          <w:lang w:val="en-GB"/>
        </w:rPr>
        <w:t xml:space="preserve"> </w:t>
      </w:r>
      <w:r w:rsidRPr="003140C5">
        <w:rPr>
          <w:rFonts w:ascii="Tahoma" w:hAnsi="Tahoma" w:cs="Tahoma"/>
          <w:lang w:val="en-GB"/>
        </w:rPr>
        <w:t xml:space="preserve"> </w:t>
      </w:r>
    </w:p>
  </w:footnote>
  <w:footnote w:id="14">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 </w:t>
      </w:r>
      <w:r w:rsidRPr="00E35DEB">
        <w:rPr>
          <w:rFonts w:ascii="Tahoma" w:hAnsi="Tahoma" w:cs="Tahoma"/>
          <w:i/>
        </w:rPr>
        <w:t>Ευρωπαϊκή Επιτροπή</w:t>
      </w:r>
      <w:r w:rsidRPr="009B2E31">
        <w:rPr>
          <w:rFonts w:ascii="Tahoma" w:hAnsi="Tahoma" w:cs="Tahoma"/>
        </w:rPr>
        <w:t>, Ανακοίνωση για την αρχή της προφύλαξης, ό.π., Παράρτημα ΙΙΙ.</w:t>
      </w:r>
    </w:p>
  </w:footnote>
  <w:footnote w:id="15">
    <w:p w:rsidR="00ED6DB8" w:rsidRPr="009B2E31" w:rsidRDefault="00ED6DB8" w:rsidP="00ED6DB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19. </w:t>
      </w:r>
      <w:r w:rsidRPr="009B2E31">
        <w:rPr>
          <w:rFonts w:ascii="Tahoma" w:hAnsi="Tahoma" w:cs="Tahoma"/>
        </w:rPr>
        <w:t xml:space="preserve">Ανακοίνωση για την αρχή της προφύλαξης, ό.π., Παράρτημα ΙΙΙ. </w:t>
      </w:r>
    </w:p>
  </w:footnote>
  <w:footnote w:id="16">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20.</w:t>
      </w:r>
    </w:p>
  </w:footnote>
  <w:footnote w:id="1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smartTag w:uri="urn:schemas-microsoft-com:office:smarttags" w:element="country-region">
        <w:smartTag w:uri="urn:schemas-microsoft-com:office:smarttags" w:element="place">
          <w:r w:rsidRPr="00E35DEB">
            <w:rPr>
              <w:rFonts w:ascii="Tahoma" w:hAnsi="Tahoma" w:cs="Tahoma"/>
              <w:i/>
              <w:lang w:val="en-US"/>
            </w:rPr>
            <w:t>US</w:t>
          </w:r>
        </w:smartTag>
      </w:smartTag>
      <w:r w:rsidRPr="00E35DEB">
        <w:rPr>
          <w:rFonts w:ascii="Tahoma" w:hAnsi="Tahoma" w:cs="Tahoma"/>
          <w:i/>
          <w:lang w:val="en-US"/>
        </w:rPr>
        <w:t xml:space="preserve"> EPA</w:t>
      </w:r>
      <w:r w:rsidRPr="009B2E31">
        <w:rPr>
          <w:rFonts w:ascii="Tahoma" w:hAnsi="Tahoma" w:cs="Tahoma"/>
          <w:lang w:val="en-US"/>
        </w:rPr>
        <w:t xml:space="preserve">, Guidelines for Development Toxicity Risk Assessment, 56 Fed. Reg. 63,798, 63,809 (1991). </w:t>
      </w:r>
      <w:smartTag w:uri="urn:schemas-microsoft-com:office:smarttags" w:element="country-region">
        <w:smartTag w:uri="urn:schemas-microsoft-com:office:smarttags" w:element="place">
          <w:r w:rsidRPr="00E35DEB">
            <w:rPr>
              <w:rFonts w:ascii="Tahoma" w:hAnsi="Tahoma" w:cs="Tahoma"/>
              <w:i/>
              <w:lang w:val="en-US"/>
            </w:rPr>
            <w:t>US</w:t>
          </w:r>
        </w:smartTag>
      </w:smartTag>
      <w:r w:rsidRPr="00E35DEB">
        <w:rPr>
          <w:rFonts w:ascii="Tahoma" w:hAnsi="Tahoma" w:cs="Tahoma"/>
          <w:i/>
          <w:lang w:val="en-US"/>
        </w:rPr>
        <w:t xml:space="preserve"> EPA</w:t>
      </w:r>
      <w:r w:rsidRPr="009B2E31">
        <w:rPr>
          <w:rFonts w:ascii="Tahoma" w:hAnsi="Tahoma" w:cs="Tahoma"/>
          <w:lang w:val="en-US"/>
        </w:rPr>
        <w:t>, Guidelines for Reproductive Toxicity Risk Assessment, 61 Fed. Reg. 56,274, 56,278-9, 56,309 (1996).</w:t>
      </w:r>
      <w:r w:rsidRPr="009B2E31">
        <w:rPr>
          <w:rFonts w:ascii="Tahoma" w:hAnsi="Tahoma" w:cs="Tahoma"/>
          <w:lang w:val="en-GB"/>
        </w:rPr>
        <w:t xml:space="preserve"> </w:t>
      </w:r>
    </w:p>
  </w:footnote>
  <w:footnote w:id="1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T.O. McGarity</w:t>
      </w:r>
      <w:r w:rsidRPr="009B2E31">
        <w:rPr>
          <w:rFonts w:ascii="Tahoma" w:hAnsi="Tahoma" w:cs="Tahoma"/>
          <w:lang w:val="en-US"/>
        </w:rPr>
        <w:t>, “On the Prospect of ‘Daubertizing’ Judicial Review of Risk Assessment”, Law &amp; Contemporary P</w:t>
      </w:r>
      <w:r>
        <w:rPr>
          <w:rFonts w:ascii="Tahoma" w:hAnsi="Tahoma" w:cs="Tahoma"/>
          <w:lang w:val="en-US"/>
        </w:rPr>
        <w:t>roblems, Vol. 66, 2003,</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158.</w:t>
      </w:r>
    </w:p>
  </w:footnote>
  <w:footnote w:id="19">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US EPA</w:t>
      </w:r>
      <w:r w:rsidRPr="009B2E31">
        <w:rPr>
          <w:rFonts w:ascii="Tahoma" w:hAnsi="Tahoma" w:cs="Tahoma"/>
          <w:lang w:val="en-US"/>
        </w:rPr>
        <w:t>, Proposed Guidelines for Carcinogen Risk Assessment, 61 Fed. Reg. 17,972 (1996).</w:t>
      </w:r>
    </w:p>
  </w:footnote>
  <w:footnote w:id="20">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K.J. Rothman, S. Greenland</w:t>
      </w:r>
      <w:r w:rsidRPr="009B2E31">
        <w:rPr>
          <w:rFonts w:ascii="Tahoma" w:hAnsi="Tahoma" w:cs="Tahoma"/>
          <w:lang w:val="en-US"/>
        </w:rPr>
        <w:t>, “Causation and Causal Inference in Epidemiology”, American Journal of Public Health, Vol. 95(S1),</w:t>
      </w:r>
      <w:r w:rsidRPr="009B2E31">
        <w:rPr>
          <w:rFonts w:ascii="Tahoma" w:hAnsi="Tahoma" w:cs="Tahoma"/>
          <w:lang w:val="en-GB"/>
        </w:rPr>
        <w:t xml:space="preserve"> 2005, </w:t>
      </w:r>
      <w:r w:rsidRPr="009B2E31">
        <w:rPr>
          <w:rFonts w:ascii="Tahoma" w:hAnsi="Tahoma" w:cs="Tahoma"/>
        </w:rPr>
        <w:t>σ</w:t>
      </w:r>
      <w:r w:rsidRPr="009B2E31">
        <w:rPr>
          <w:rFonts w:ascii="Tahoma" w:hAnsi="Tahoma" w:cs="Tahoma"/>
          <w:lang w:val="en-GB"/>
        </w:rPr>
        <w:t>.</w:t>
      </w:r>
      <w:r w:rsidRPr="009B2E31">
        <w:rPr>
          <w:rFonts w:ascii="Tahoma" w:hAnsi="Tahoma" w:cs="Tahoma"/>
          <w:lang w:val="en-US"/>
        </w:rPr>
        <w:t xml:space="preserve"> S144- S15O</w:t>
      </w:r>
    </w:p>
  </w:footnote>
  <w:footnote w:id="21">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US EPA</w:t>
      </w:r>
      <w:r w:rsidRPr="009B2E31">
        <w:rPr>
          <w:rFonts w:ascii="Tahoma" w:hAnsi="Tahoma" w:cs="Tahoma"/>
          <w:lang w:val="en-US"/>
        </w:rPr>
        <w:t>, Guidelines for Reproductive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56,299.</w:t>
      </w:r>
    </w:p>
  </w:footnote>
  <w:footnote w:id="22">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T.O. McGarity</w:t>
      </w:r>
      <w:r w:rsidRPr="009B2E31">
        <w:rPr>
          <w:rFonts w:ascii="Tahoma" w:hAnsi="Tahoma" w:cs="Tahoma"/>
          <w:lang w:val="en-US"/>
        </w:rPr>
        <w:t>, “On the Prospect of ‘Daubertizing’ Judicial Review of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159.</w:t>
      </w:r>
    </w:p>
  </w:footnote>
  <w:footnote w:id="23">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bCs/>
          <w:i/>
          <w:lang w:val="en-US"/>
        </w:rPr>
        <w:t>Ibid</w:t>
      </w:r>
      <w:r w:rsidRPr="00E35DEB">
        <w:rPr>
          <w:rFonts w:ascii="Tahoma" w:hAnsi="Tahoma" w:cs="Tahoma"/>
          <w:bCs/>
          <w:i/>
          <w:lang w:val="en-GB"/>
        </w:rPr>
        <w:t>.</w:t>
      </w:r>
      <w:r w:rsidRPr="009B2E31">
        <w:rPr>
          <w:rFonts w:ascii="Tahoma" w:hAnsi="Tahoma" w:cs="Tahoma"/>
          <w:bCs/>
          <w:lang w:val="en-GB"/>
        </w:rPr>
        <w:t xml:space="preserve"> </w:t>
      </w:r>
    </w:p>
  </w:footnote>
  <w:footnote w:id="24">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22.</w:t>
      </w:r>
    </w:p>
  </w:footnote>
  <w:footnote w:id="25">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US EPA</w:t>
      </w:r>
      <w:r w:rsidRPr="009B2E31">
        <w:rPr>
          <w:rFonts w:ascii="Tahoma" w:hAnsi="Tahoma" w:cs="Tahoma"/>
          <w:lang w:val="en-US"/>
        </w:rPr>
        <w:t>, Proposed Guidelines for Carcinogen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17,967.</w:t>
      </w:r>
    </w:p>
  </w:footnote>
  <w:footnote w:id="26">
    <w:p w:rsidR="00ED6DB8" w:rsidRPr="002C4C48"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35DEB">
        <w:rPr>
          <w:rFonts w:ascii="Tahoma" w:hAnsi="Tahoma" w:cs="Tahoma"/>
          <w:i/>
          <w:lang w:val="en-US"/>
        </w:rPr>
        <w:t>US EPA</w:t>
      </w:r>
      <w:r w:rsidRPr="009B2E31">
        <w:rPr>
          <w:rFonts w:ascii="Tahoma" w:hAnsi="Tahoma" w:cs="Tahoma"/>
          <w:lang w:val="en-US"/>
        </w:rPr>
        <w:t>, Guidelines for Development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63,798. </w:t>
      </w:r>
      <w:r w:rsidRPr="009B2E31">
        <w:rPr>
          <w:rFonts w:ascii="Tahoma" w:hAnsi="Tahoma" w:cs="Tahoma"/>
        </w:rPr>
        <w:t>Ένα παράδειγμα είναι αυτό της ενδοκρινικής λειτουργίας. Η τελευταία δεν είναι ίδια στα τρωκτικά και στους ανθρώπους κατά το στάδιο της κύησης και για το λόγο αυτό τα ευρήματα στα τρωκτικά δεν αποτελούν ασφαλή απόδειξη ότι ισχύουν και για τους ανθρώπους. Βλ</w:t>
      </w:r>
      <w:r w:rsidRPr="002C4C48">
        <w:rPr>
          <w:rFonts w:ascii="Tahoma" w:hAnsi="Tahoma" w:cs="Tahoma"/>
          <w:lang w:val="en-GB"/>
        </w:rPr>
        <w:t xml:space="preserve">, </w:t>
      </w:r>
      <w:r w:rsidRPr="009B2E31">
        <w:rPr>
          <w:rFonts w:ascii="Tahoma" w:hAnsi="Tahoma" w:cs="Tahoma"/>
        </w:rPr>
        <w:t>σχετ</w:t>
      </w:r>
      <w:r w:rsidRPr="002C4C48">
        <w:rPr>
          <w:rFonts w:ascii="Tahoma" w:hAnsi="Tahoma" w:cs="Tahoma"/>
          <w:lang w:val="en-GB"/>
        </w:rPr>
        <w:t xml:space="preserve">., </w:t>
      </w:r>
      <w:r w:rsidRPr="008F4A33">
        <w:rPr>
          <w:rFonts w:ascii="Tahoma" w:hAnsi="Tahoma" w:cs="Tahoma"/>
          <w:i/>
          <w:lang w:val="en-GB"/>
        </w:rPr>
        <w:t>M</w:t>
      </w:r>
      <w:r w:rsidRPr="002C4C48">
        <w:rPr>
          <w:rFonts w:ascii="Tahoma" w:hAnsi="Tahoma" w:cs="Tahoma"/>
          <w:i/>
          <w:lang w:val="en-GB"/>
        </w:rPr>
        <w:t xml:space="preserve"> </w:t>
      </w:r>
      <w:r w:rsidRPr="008F4A33">
        <w:rPr>
          <w:rFonts w:ascii="Tahoma" w:hAnsi="Tahoma" w:cs="Tahoma"/>
          <w:i/>
          <w:lang w:val="en-GB"/>
        </w:rPr>
        <w:t>Rescia</w:t>
      </w:r>
      <w:r w:rsidRPr="002C4C48">
        <w:rPr>
          <w:rFonts w:ascii="Tahoma" w:hAnsi="Tahoma" w:cs="Tahoma"/>
          <w:i/>
          <w:lang w:val="en-GB"/>
        </w:rPr>
        <w:t xml:space="preserve">, </w:t>
      </w:r>
      <w:r w:rsidRPr="008F4A33">
        <w:rPr>
          <w:rFonts w:ascii="Tahoma" w:hAnsi="Tahoma" w:cs="Tahoma"/>
          <w:i/>
          <w:lang w:val="en-GB"/>
        </w:rPr>
        <w:t>A</w:t>
      </w:r>
      <w:r w:rsidRPr="002C4C48">
        <w:rPr>
          <w:rFonts w:ascii="Tahoma" w:hAnsi="Tahoma" w:cs="Tahoma"/>
          <w:i/>
          <w:lang w:val="en-GB"/>
        </w:rPr>
        <w:t xml:space="preserve">. </w:t>
      </w:r>
      <w:r w:rsidRPr="008F4A33">
        <w:rPr>
          <w:rFonts w:ascii="Tahoma" w:hAnsi="Tahoma" w:cs="Tahoma"/>
          <w:i/>
          <w:lang w:val="en-GB"/>
        </w:rPr>
        <w:t>Mantovani</w:t>
      </w:r>
      <w:r w:rsidRPr="002C4C48">
        <w:rPr>
          <w:rFonts w:ascii="Tahoma" w:hAnsi="Tahoma" w:cs="Tahoma"/>
          <w:lang w:val="en-GB"/>
        </w:rPr>
        <w:t>, “</w:t>
      </w:r>
      <w:r w:rsidRPr="009B2E31">
        <w:rPr>
          <w:rFonts w:ascii="Tahoma" w:hAnsi="Tahoma" w:cs="Tahoma"/>
          <w:lang w:val="en-GB"/>
        </w:rPr>
        <w:t>Pesticides</w:t>
      </w:r>
      <w:r w:rsidRPr="002C4C48">
        <w:rPr>
          <w:rFonts w:ascii="Tahoma" w:hAnsi="Tahoma" w:cs="Tahoma"/>
          <w:lang w:val="en-GB"/>
        </w:rPr>
        <w:t xml:space="preserve"> </w:t>
      </w:r>
      <w:r w:rsidRPr="009B2E31">
        <w:rPr>
          <w:rFonts w:ascii="Tahoma" w:hAnsi="Tahoma" w:cs="Tahoma"/>
          <w:lang w:val="en-GB"/>
        </w:rPr>
        <w:t>as</w:t>
      </w:r>
      <w:r w:rsidRPr="002C4C48">
        <w:rPr>
          <w:rFonts w:ascii="Tahoma" w:hAnsi="Tahoma" w:cs="Tahoma"/>
          <w:lang w:val="en-GB"/>
        </w:rPr>
        <w:t xml:space="preserve"> </w:t>
      </w:r>
      <w:r w:rsidRPr="009B2E31">
        <w:rPr>
          <w:rFonts w:ascii="Tahoma" w:hAnsi="Tahoma" w:cs="Tahoma"/>
          <w:lang w:val="en-GB"/>
        </w:rPr>
        <w:t>endocrine</w:t>
      </w:r>
      <w:r w:rsidRPr="002C4C48">
        <w:rPr>
          <w:rFonts w:ascii="Tahoma" w:hAnsi="Tahoma" w:cs="Tahoma"/>
          <w:lang w:val="en-GB"/>
        </w:rPr>
        <w:t xml:space="preserve"> </w:t>
      </w:r>
      <w:r w:rsidRPr="009B2E31">
        <w:rPr>
          <w:rFonts w:ascii="Tahoma" w:hAnsi="Tahoma" w:cs="Tahoma"/>
          <w:lang w:val="en-GB"/>
        </w:rPr>
        <w:t>disrupters</w:t>
      </w:r>
      <w:r w:rsidRPr="002C4C48">
        <w:rPr>
          <w:rFonts w:ascii="Tahoma" w:hAnsi="Tahoma" w:cs="Tahoma"/>
          <w:lang w:val="en-GB"/>
        </w:rPr>
        <w:t xml:space="preserve">: </w:t>
      </w:r>
      <w:r w:rsidRPr="009B2E31">
        <w:rPr>
          <w:rFonts w:ascii="Tahoma" w:hAnsi="Tahoma" w:cs="Tahoma"/>
          <w:lang w:val="en-GB"/>
        </w:rPr>
        <w:t>Identification</w:t>
      </w:r>
      <w:r w:rsidRPr="002C4C48">
        <w:rPr>
          <w:rFonts w:ascii="Tahoma" w:hAnsi="Tahoma" w:cs="Tahoma"/>
          <w:lang w:val="en-GB"/>
        </w:rPr>
        <w:t xml:space="preserve"> </w:t>
      </w:r>
      <w:r w:rsidRPr="009B2E31">
        <w:rPr>
          <w:rFonts w:ascii="Tahoma" w:hAnsi="Tahoma" w:cs="Tahoma"/>
          <w:lang w:val="en-GB"/>
        </w:rPr>
        <w:t>of</w:t>
      </w:r>
      <w:r w:rsidRPr="002C4C48">
        <w:rPr>
          <w:rFonts w:ascii="Tahoma" w:hAnsi="Tahoma" w:cs="Tahoma"/>
          <w:lang w:val="en-GB"/>
        </w:rPr>
        <w:t xml:space="preserve"> </w:t>
      </w:r>
      <w:r w:rsidRPr="009B2E31">
        <w:rPr>
          <w:rFonts w:ascii="Tahoma" w:hAnsi="Tahoma" w:cs="Tahoma"/>
          <w:lang w:val="en-GB"/>
        </w:rPr>
        <w:t>hazards</w:t>
      </w:r>
      <w:r w:rsidRPr="002C4C48">
        <w:rPr>
          <w:rFonts w:ascii="Tahoma" w:hAnsi="Tahoma" w:cs="Tahoma"/>
          <w:lang w:val="en-GB"/>
        </w:rPr>
        <w:t xml:space="preserve"> </w:t>
      </w:r>
      <w:r w:rsidRPr="009B2E31">
        <w:rPr>
          <w:rFonts w:ascii="Tahoma" w:hAnsi="Tahoma" w:cs="Tahoma"/>
          <w:lang w:val="en-GB"/>
        </w:rPr>
        <w:t>for</w:t>
      </w:r>
      <w:r w:rsidRPr="002C4C48">
        <w:rPr>
          <w:rFonts w:ascii="Tahoma" w:hAnsi="Tahoma" w:cs="Tahoma"/>
          <w:lang w:val="en-GB"/>
        </w:rPr>
        <w:t xml:space="preserve"> </w:t>
      </w:r>
      <w:r w:rsidRPr="009B2E31">
        <w:rPr>
          <w:rFonts w:ascii="Tahoma" w:hAnsi="Tahoma" w:cs="Tahoma"/>
          <w:lang w:val="en-GB"/>
        </w:rPr>
        <w:t>female</w:t>
      </w:r>
      <w:r w:rsidRPr="002C4C48">
        <w:rPr>
          <w:rFonts w:ascii="Tahoma" w:hAnsi="Tahoma" w:cs="Tahoma"/>
          <w:lang w:val="en-GB"/>
        </w:rPr>
        <w:t xml:space="preserve"> </w:t>
      </w:r>
      <w:r w:rsidRPr="009B2E31">
        <w:rPr>
          <w:rFonts w:ascii="Tahoma" w:hAnsi="Tahoma" w:cs="Tahoma"/>
          <w:lang w:val="en-GB"/>
        </w:rPr>
        <w:t>reproductive</w:t>
      </w:r>
      <w:r w:rsidRPr="002C4C48">
        <w:rPr>
          <w:rFonts w:ascii="Tahoma" w:hAnsi="Tahoma" w:cs="Tahoma"/>
          <w:lang w:val="en-GB"/>
        </w:rPr>
        <w:t xml:space="preserve"> </w:t>
      </w:r>
      <w:r w:rsidRPr="009B2E31">
        <w:rPr>
          <w:rFonts w:ascii="Tahoma" w:hAnsi="Tahoma" w:cs="Tahoma"/>
          <w:lang w:val="en-GB"/>
        </w:rPr>
        <w:t>function</w:t>
      </w:r>
      <w:r w:rsidRPr="002C4C48">
        <w:rPr>
          <w:rFonts w:ascii="Tahoma" w:hAnsi="Tahoma" w:cs="Tahoma"/>
          <w:lang w:val="en-GB"/>
        </w:rPr>
        <w:t xml:space="preserve">”, </w:t>
      </w:r>
      <w:r w:rsidRPr="009B2E31">
        <w:rPr>
          <w:rFonts w:ascii="Tahoma" w:hAnsi="Tahoma" w:cs="Tahoma"/>
          <w:lang w:val="en-GB"/>
        </w:rPr>
        <w:t>in</w:t>
      </w:r>
      <w:r w:rsidRPr="002C4C48">
        <w:rPr>
          <w:rFonts w:ascii="Tahoma" w:hAnsi="Tahoma" w:cs="Tahoma"/>
          <w:lang w:val="en-GB"/>
        </w:rPr>
        <w:t xml:space="preserve">: </w:t>
      </w:r>
      <w:r w:rsidRPr="009B2E31">
        <w:rPr>
          <w:rFonts w:ascii="Tahoma" w:hAnsi="Tahoma" w:cs="Tahoma"/>
          <w:lang w:val="en-GB"/>
        </w:rPr>
        <w:t>P</w:t>
      </w:r>
      <w:r w:rsidRPr="002C4C48">
        <w:rPr>
          <w:rFonts w:ascii="Tahoma" w:hAnsi="Tahoma" w:cs="Tahoma"/>
          <w:lang w:val="en-GB"/>
        </w:rPr>
        <w:t xml:space="preserve">. </w:t>
      </w:r>
      <w:r w:rsidRPr="008F4A33">
        <w:rPr>
          <w:rFonts w:ascii="Tahoma" w:hAnsi="Tahoma" w:cs="Tahoma"/>
          <w:i/>
          <w:lang w:val="en-GB"/>
        </w:rPr>
        <w:t>Nicolopoulou</w:t>
      </w:r>
      <w:r w:rsidRPr="002C4C48">
        <w:rPr>
          <w:rFonts w:ascii="Tahoma" w:hAnsi="Tahoma" w:cs="Tahoma"/>
          <w:i/>
          <w:lang w:val="en-GB"/>
        </w:rPr>
        <w:t>-</w:t>
      </w:r>
      <w:r w:rsidRPr="008F4A33">
        <w:rPr>
          <w:rFonts w:ascii="Tahoma" w:hAnsi="Tahoma" w:cs="Tahoma"/>
          <w:i/>
          <w:lang w:val="en-GB"/>
        </w:rPr>
        <w:t>Stamati</w:t>
      </w:r>
      <w:r w:rsidRPr="002C4C48">
        <w:rPr>
          <w:rFonts w:ascii="Tahoma" w:hAnsi="Tahoma" w:cs="Tahoma"/>
          <w:i/>
          <w:lang w:val="en-GB"/>
        </w:rPr>
        <w:t xml:space="preserve">, </w:t>
      </w:r>
      <w:r w:rsidRPr="008F4A33">
        <w:rPr>
          <w:rFonts w:ascii="Tahoma" w:hAnsi="Tahoma" w:cs="Tahoma"/>
          <w:i/>
          <w:lang w:val="en-GB"/>
        </w:rPr>
        <w:t>L</w:t>
      </w:r>
      <w:r w:rsidRPr="002C4C48">
        <w:rPr>
          <w:rFonts w:ascii="Tahoma" w:hAnsi="Tahoma" w:cs="Tahoma"/>
          <w:i/>
          <w:lang w:val="en-GB"/>
        </w:rPr>
        <w:t xml:space="preserve">. </w:t>
      </w:r>
      <w:r w:rsidRPr="008F4A33">
        <w:rPr>
          <w:rFonts w:ascii="Tahoma" w:hAnsi="Tahoma" w:cs="Tahoma"/>
          <w:i/>
          <w:lang w:val="en-US"/>
        </w:rPr>
        <w:t>Hens</w:t>
      </w:r>
      <w:r w:rsidRPr="002C4C48">
        <w:rPr>
          <w:rFonts w:ascii="Tahoma" w:hAnsi="Tahoma" w:cs="Tahoma"/>
          <w:i/>
          <w:lang w:val="en-GB"/>
        </w:rPr>
        <w:t xml:space="preserve">, </w:t>
      </w:r>
      <w:r w:rsidRPr="008F4A33">
        <w:rPr>
          <w:rFonts w:ascii="Tahoma" w:hAnsi="Tahoma" w:cs="Tahoma"/>
          <w:i/>
          <w:lang w:val="en-US"/>
        </w:rPr>
        <w:t>C</w:t>
      </w:r>
      <w:r w:rsidRPr="002C4C48">
        <w:rPr>
          <w:rFonts w:ascii="Tahoma" w:hAnsi="Tahoma" w:cs="Tahoma"/>
          <w:i/>
          <w:lang w:val="en-GB"/>
        </w:rPr>
        <w:t>.</w:t>
      </w:r>
      <w:r w:rsidRPr="008F4A33">
        <w:rPr>
          <w:rFonts w:ascii="Tahoma" w:hAnsi="Tahoma" w:cs="Tahoma"/>
          <w:i/>
          <w:lang w:val="en-US"/>
        </w:rPr>
        <w:t>V</w:t>
      </w:r>
      <w:r w:rsidRPr="002C4C48">
        <w:rPr>
          <w:rFonts w:ascii="Tahoma" w:hAnsi="Tahoma" w:cs="Tahoma"/>
          <w:i/>
          <w:lang w:val="en-GB"/>
        </w:rPr>
        <w:t xml:space="preserve">. </w:t>
      </w:r>
      <w:r w:rsidRPr="008F4A33">
        <w:rPr>
          <w:rFonts w:ascii="Tahoma" w:hAnsi="Tahoma" w:cs="Tahoma"/>
          <w:i/>
          <w:lang w:val="en-US"/>
        </w:rPr>
        <w:t>Howard</w:t>
      </w:r>
      <w:r w:rsidRPr="002C4C48">
        <w:rPr>
          <w:rFonts w:ascii="Tahoma" w:hAnsi="Tahoma" w:cs="Tahoma"/>
          <w:lang w:val="en-GB"/>
        </w:rPr>
        <w:t xml:space="preserve"> (</w:t>
      </w:r>
      <w:r w:rsidRPr="009B2E31">
        <w:rPr>
          <w:rFonts w:ascii="Tahoma" w:hAnsi="Tahoma" w:cs="Tahoma"/>
          <w:lang w:val="en-US"/>
        </w:rPr>
        <w:t>eds</w:t>
      </w:r>
      <w:r w:rsidRPr="002C4C48">
        <w:rPr>
          <w:rFonts w:ascii="Tahoma" w:hAnsi="Tahoma" w:cs="Tahoma"/>
          <w:lang w:val="en-GB"/>
        </w:rPr>
        <w:t xml:space="preserve">), </w:t>
      </w:r>
      <w:r w:rsidRPr="009B2E31">
        <w:rPr>
          <w:rFonts w:ascii="Tahoma" w:hAnsi="Tahoma" w:cs="Tahoma"/>
          <w:lang w:val="en-US"/>
        </w:rPr>
        <w:t>Reproductive</w:t>
      </w:r>
      <w:r w:rsidRPr="002C4C48">
        <w:rPr>
          <w:rFonts w:ascii="Tahoma" w:hAnsi="Tahoma" w:cs="Tahoma"/>
          <w:lang w:val="en-GB"/>
        </w:rPr>
        <w:t xml:space="preserve"> </w:t>
      </w:r>
      <w:r w:rsidRPr="009B2E31">
        <w:rPr>
          <w:rFonts w:ascii="Tahoma" w:hAnsi="Tahoma" w:cs="Tahoma"/>
          <w:lang w:val="en-US"/>
        </w:rPr>
        <w:t>Health</w:t>
      </w:r>
      <w:r w:rsidRPr="002C4C48">
        <w:rPr>
          <w:rFonts w:ascii="Tahoma" w:hAnsi="Tahoma" w:cs="Tahoma"/>
          <w:lang w:val="en-GB"/>
        </w:rPr>
        <w:t xml:space="preserve"> </w:t>
      </w:r>
      <w:r w:rsidRPr="009B2E31">
        <w:rPr>
          <w:rFonts w:ascii="Tahoma" w:hAnsi="Tahoma" w:cs="Tahoma"/>
          <w:lang w:val="en-US"/>
        </w:rPr>
        <w:t>and</w:t>
      </w:r>
      <w:r w:rsidRPr="002C4C48">
        <w:rPr>
          <w:rFonts w:ascii="Tahoma" w:hAnsi="Tahoma" w:cs="Tahoma"/>
          <w:lang w:val="en-GB"/>
        </w:rPr>
        <w:t xml:space="preserve"> </w:t>
      </w:r>
      <w:r w:rsidRPr="009B2E31">
        <w:rPr>
          <w:rFonts w:ascii="Tahoma" w:hAnsi="Tahoma" w:cs="Tahoma"/>
          <w:lang w:val="en-US"/>
        </w:rPr>
        <w:t>the</w:t>
      </w:r>
      <w:r w:rsidRPr="002C4C48">
        <w:rPr>
          <w:rFonts w:ascii="Tahoma" w:hAnsi="Tahoma" w:cs="Tahoma"/>
          <w:lang w:val="en-GB"/>
        </w:rPr>
        <w:t xml:space="preserve"> </w:t>
      </w:r>
      <w:r w:rsidRPr="009B2E31">
        <w:rPr>
          <w:rFonts w:ascii="Tahoma" w:hAnsi="Tahoma" w:cs="Tahoma"/>
          <w:lang w:val="en-US"/>
        </w:rPr>
        <w:t>Environment</w:t>
      </w:r>
      <w:r w:rsidRPr="002C4C48">
        <w:rPr>
          <w:rFonts w:ascii="Tahoma" w:hAnsi="Tahoma" w:cs="Tahoma"/>
          <w:lang w:val="en-GB"/>
        </w:rPr>
        <w:t xml:space="preserve">, </w:t>
      </w:r>
      <w:r w:rsidRPr="009B2E31">
        <w:rPr>
          <w:rFonts w:ascii="Tahoma" w:hAnsi="Tahoma" w:cs="Tahoma"/>
          <w:lang w:val="en-US"/>
        </w:rPr>
        <w:t>Dordrecht</w:t>
      </w:r>
      <w:r w:rsidRPr="002C4C48">
        <w:rPr>
          <w:rFonts w:ascii="Tahoma" w:hAnsi="Tahoma" w:cs="Tahoma"/>
          <w:lang w:val="en-GB"/>
        </w:rPr>
        <w:t xml:space="preserve">, </w:t>
      </w:r>
      <w:r w:rsidRPr="009B2E31">
        <w:rPr>
          <w:rFonts w:ascii="Tahoma" w:hAnsi="Tahoma" w:cs="Tahoma"/>
          <w:lang w:val="en-US"/>
        </w:rPr>
        <w:t>Springer</w:t>
      </w:r>
      <w:r w:rsidRPr="002C4C48">
        <w:rPr>
          <w:rFonts w:ascii="Tahoma" w:hAnsi="Tahoma" w:cs="Tahoma"/>
          <w:lang w:val="en-GB"/>
        </w:rPr>
        <w:t>, 2007</w:t>
      </w:r>
      <w:r>
        <w:rPr>
          <w:rFonts w:ascii="Tahoma" w:hAnsi="Tahoma" w:cs="Tahoma"/>
          <w:lang w:val="en-US"/>
        </w:rPr>
        <w:t>,</w:t>
      </w:r>
      <w:r w:rsidRPr="002C4C48">
        <w:rPr>
          <w:rFonts w:ascii="Tahoma" w:hAnsi="Tahoma" w:cs="Tahoma"/>
          <w:lang w:val="en-GB"/>
        </w:rPr>
        <w:t xml:space="preserve"> </w:t>
      </w:r>
      <w:r w:rsidRPr="009B2E31">
        <w:rPr>
          <w:rFonts w:ascii="Tahoma" w:hAnsi="Tahoma" w:cs="Tahoma"/>
        </w:rPr>
        <w:t>σ</w:t>
      </w:r>
      <w:r w:rsidRPr="002C4C48">
        <w:rPr>
          <w:rFonts w:ascii="Tahoma" w:hAnsi="Tahoma" w:cs="Tahoma"/>
          <w:lang w:val="en-GB"/>
        </w:rPr>
        <w:t>. 227.</w:t>
      </w:r>
    </w:p>
  </w:footnote>
  <w:footnote w:id="27">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US EPA, Guidelines for Reproductive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56,302.</w:t>
      </w:r>
    </w:p>
  </w:footnote>
  <w:footnote w:id="2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T.O. McGarity</w:t>
      </w:r>
      <w:r w:rsidRPr="009B2E31">
        <w:rPr>
          <w:rFonts w:ascii="Tahoma" w:hAnsi="Tahoma" w:cs="Tahoma"/>
          <w:lang w:val="en-US"/>
        </w:rPr>
        <w:t>, “On the Prospect of ‘Daubertizing’ Judicial Review of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163.</w:t>
      </w:r>
    </w:p>
  </w:footnote>
  <w:footnote w:id="29">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smartTag w:uri="urn:schemas-microsoft-com:office:smarttags" w:element="country-region">
        <w:smartTag w:uri="urn:schemas-microsoft-com:office:smarttags" w:element="place">
          <w:r w:rsidRPr="008F4A33">
            <w:rPr>
              <w:rFonts w:ascii="Tahoma" w:hAnsi="Tahoma" w:cs="Tahoma"/>
              <w:i/>
              <w:lang w:val="en-US"/>
            </w:rPr>
            <w:t>US</w:t>
          </w:r>
        </w:smartTag>
      </w:smartTag>
      <w:r w:rsidRPr="008F4A33">
        <w:rPr>
          <w:rFonts w:ascii="Tahoma" w:hAnsi="Tahoma" w:cs="Tahoma"/>
          <w:i/>
          <w:lang w:val="en-US"/>
        </w:rPr>
        <w:t xml:space="preserve"> EPA</w:t>
      </w:r>
      <w:r w:rsidRPr="009B2E31">
        <w:rPr>
          <w:rFonts w:ascii="Tahoma" w:hAnsi="Tahoma" w:cs="Tahoma"/>
          <w:lang w:val="en-US"/>
        </w:rPr>
        <w:t>, Guidance for Identifying Pesticide Chemicals and Other Substances That Have a Common Mechanism of Toxicity, 4,8 (1999).</w:t>
      </w:r>
      <w:r w:rsidRPr="009B2E31">
        <w:rPr>
          <w:rFonts w:ascii="Tahoma" w:hAnsi="Tahoma" w:cs="Tahoma"/>
          <w:lang w:val="en-GB"/>
        </w:rPr>
        <w:t xml:space="preserve"> </w:t>
      </w:r>
      <w:r w:rsidRPr="009B2E31">
        <w:rPr>
          <w:rFonts w:ascii="Tahoma" w:hAnsi="Tahoma" w:cs="Tahoma"/>
        </w:rPr>
        <w:t xml:space="preserve">Διαθέσιμο στο: </w:t>
      </w:r>
      <w:hyperlink r:id="rId3"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epa</w:t>
        </w:r>
        <w:r w:rsidRPr="009B2E31">
          <w:rPr>
            <w:rStyle w:val="Hyperlink"/>
            <w:rFonts w:ascii="Tahoma" w:hAnsi="Tahoma" w:cs="Tahoma"/>
          </w:rPr>
          <w:t>.</w:t>
        </w:r>
        <w:r w:rsidRPr="009B2E31">
          <w:rPr>
            <w:rStyle w:val="Hyperlink"/>
            <w:rFonts w:ascii="Tahoma" w:hAnsi="Tahoma" w:cs="Tahoma"/>
            <w:lang w:val="en-US"/>
          </w:rPr>
          <w:t>gov</w:t>
        </w:r>
        <w:r w:rsidRPr="009B2E31">
          <w:rPr>
            <w:rStyle w:val="Hyperlink"/>
            <w:rFonts w:ascii="Tahoma" w:hAnsi="Tahoma" w:cs="Tahoma"/>
          </w:rPr>
          <w:t>/</w:t>
        </w:r>
        <w:r w:rsidRPr="009B2E31">
          <w:rPr>
            <w:rStyle w:val="Hyperlink"/>
            <w:rFonts w:ascii="Tahoma" w:hAnsi="Tahoma" w:cs="Tahoma"/>
            <w:lang w:val="en-US"/>
          </w:rPr>
          <w:t>fedrgstr</w:t>
        </w:r>
        <w:r w:rsidRPr="009B2E31">
          <w:rPr>
            <w:rStyle w:val="Hyperlink"/>
            <w:rFonts w:ascii="Tahoma" w:hAnsi="Tahoma" w:cs="Tahoma"/>
          </w:rPr>
          <w:t>/</w:t>
        </w:r>
        <w:r w:rsidRPr="009B2E31">
          <w:rPr>
            <w:rStyle w:val="Hyperlink"/>
            <w:rFonts w:ascii="Tahoma" w:hAnsi="Tahoma" w:cs="Tahoma"/>
            <w:lang w:val="en-US"/>
          </w:rPr>
          <w:t>EPA</w:t>
        </w:r>
        <w:r w:rsidRPr="009B2E31">
          <w:rPr>
            <w:rStyle w:val="Hyperlink"/>
            <w:rFonts w:ascii="Tahoma" w:hAnsi="Tahoma" w:cs="Tahoma"/>
          </w:rPr>
          <w:t>-</w:t>
        </w:r>
        <w:r w:rsidRPr="009B2E31">
          <w:rPr>
            <w:rStyle w:val="Hyperlink"/>
            <w:rFonts w:ascii="Tahoma" w:hAnsi="Tahoma" w:cs="Tahoma"/>
            <w:lang w:val="en-US"/>
          </w:rPr>
          <w:t>PEST</w:t>
        </w:r>
        <w:r w:rsidRPr="009B2E31">
          <w:rPr>
            <w:rStyle w:val="Hyperlink"/>
            <w:rFonts w:ascii="Tahoma" w:hAnsi="Tahoma" w:cs="Tahoma"/>
          </w:rPr>
          <w:t>/1999/</w:t>
        </w:r>
        <w:r w:rsidRPr="009B2E31">
          <w:rPr>
            <w:rStyle w:val="Hyperlink"/>
            <w:rFonts w:ascii="Tahoma" w:hAnsi="Tahoma" w:cs="Tahoma"/>
            <w:lang w:val="en-US"/>
          </w:rPr>
          <w:t>February</w:t>
        </w:r>
        <w:r w:rsidRPr="009B2E31">
          <w:rPr>
            <w:rStyle w:val="Hyperlink"/>
            <w:rFonts w:ascii="Tahoma" w:hAnsi="Tahoma" w:cs="Tahoma"/>
          </w:rPr>
          <w:t>/</w:t>
        </w:r>
        <w:r w:rsidRPr="009B2E31">
          <w:rPr>
            <w:rStyle w:val="Hyperlink"/>
            <w:rFonts w:ascii="Tahoma" w:hAnsi="Tahoma" w:cs="Tahoma"/>
            <w:lang w:val="en-US"/>
          </w:rPr>
          <w:t>Day</w:t>
        </w:r>
        <w:r w:rsidRPr="009B2E31">
          <w:rPr>
            <w:rStyle w:val="Hyperlink"/>
            <w:rFonts w:ascii="Tahoma" w:hAnsi="Tahoma" w:cs="Tahoma"/>
          </w:rPr>
          <w:t>-05/6055.</w:t>
        </w:r>
        <w:r w:rsidRPr="009B2E31">
          <w:rPr>
            <w:rStyle w:val="Hyperlink"/>
            <w:rFonts w:ascii="Tahoma" w:hAnsi="Tahoma" w:cs="Tahoma"/>
            <w:lang w:val="en-US"/>
          </w:rPr>
          <w:t>pdf</w:t>
        </w:r>
      </w:hyperlink>
      <w:r w:rsidRPr="009B2E31">
        <w:rPr>
          <w:rFonts w:ascii="Tahoma" w:hAnsi="Tahoma" w:cs="Tahoma"/>
        </w:rPr>
        <w:t xml:space="preserve"> </w:t>
      </w:r>
    </w:p>
  </w:footnote>
  <w:footnote w:id="30">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US EPA</w:t>
      </w:r>
      <w:r w:rsidRPr="009B2E31">
        <w:rPr>
          <w:rFonts w:ascii="Tahoma" w:hAnsi="Tahoma" w:cs="Tahoma"/>
          <w:lang w:val="en-US"/>
        </w:rPr>
        <w:t>, Proposed Guidelines for Carcinogen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17,979.</w:t>
      </w:r>
    </w:p>
  </w:footnote>
  <w:footnote w:id="31">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R.R. Kuehn</w:t>
      </w:r>
      <w:r w:rsidRPr="009B2E31">
        <w:rPr>
          <w:rFonts w:ascii="Tahoma" w:hAnsi="Tahoma" w:cs="Tahoma"/>
          <w:lang w:val="en-US"/>
        </w:rPr>
        <w:t xml:space="preserve">, “The Environmental Justice Implications of Quantitative Risk Assessment”, University of Illinois </w:t>
      </w:r>
      <w:r>
        <w:rPr>
          <w:rFonts w:ascii="Tahoma" w:hAnsi="Tahoma" w:cs="Tahoma"/>
          <w:lang w:val="en-US"/>
        </w:rPr>
        <w:t>Law Review, No 1, 1996,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113. </w:t>
      </w:r>
      <w:r w:rsidRPr="008F4A33">
        <w:rPr>
          <w:rFonts w:ascii="Tahoma" w:hAnsi="Tahoma" w:cs="Tahoma"/>
          <w:i/>
          <w:lang w:val="en-US"/>
        </w:rPr>
        <w:t>V.R. Walker</w:t>
      </w:r>
      <w:r w:rsidRPr="009B2E31">
        <w:rPr>
          <w:rFonts w:ascii="Tahoma" w:hAnsi="Tahoma" w:cs="Tahoma"/>
          <w:lang w:val="en-US"/>
        </w:rPr>
        <w:t>, “The Myth of Science as a ‘Neutral Arbiter’ for Triggering Precautions”</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214. </w:t>
      </w:r>
    </w:p>
  </w:footnote>
  <w:footnote w:id="32">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19.</w:t>
      </w:r>
    </w:p>
  </w:footnote>
  <w:footnote w:id="33">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bCs/>
          <w:i/>
          <w:lang w:val="en-US"/>
        </w:rPr>
        <w:t>Ibid</w:t>
      </w:r>
      <w:r w:rsidRPr="008F4A33">
        <w:rPr>
          <w:rFonts w:ascii="Tahoma" w:hAnsi="Tahoma" w:cs="Tahoma"/>
          <w:bCs/>
          <w:i/>
          <w:lang w:val="en-GB"/>
        </w:rPr>
        <w:t>.</w:t>
      </w:r>
      <w:r w:rsidRPr="009B2E31">
        <w:rPr>
          <w:rFonts w:ascii="Tahoma" w:hAnsi="Tahoma" w:cs="Tahoma"/>
          <w:bCs/>
          <w:lang w:val="en-GB"/>
        </w:rPr>
        <w:t xml:space="preserve">, </w:t>
      </w:r>
      <w:r w:rsidRPr="009B2E31">
        <w:rPr>
          <w:rFonts w:ascii="Tahoma" w:hAnsi="Tahoma" w:cs="Tahoma"/>
          <w:bCs/>
        </w:rPr>
        <w:t>σ</w:t>
      </w:r>
      <w:r w:rsidRPr="009B2E31">
        <w:rPr>
          <w:rFonts w:ascii="Tahoma" w:hAnsi="Tahoma" w:cs="Tahoma"/>
          <w:bCs/>
          <w:lang w:val="en-GB"/>
        </w:rPr>
        <w:t>. 23-27.</w:t>
      </w:r>
    </w:p>
  </w:footnote>
  <w:footnote w:id="34">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R.R. Kuehn</w:t>
      </w:r>
      <w:r w:rsidRPr="009B2E31">
        <w:rPr>
          <w:rFonts w:ascii="Tahoma" w:hAnsi="Tahoma" w:cs="Tahoma"/>
          <w:lang w:val="en-US"/>
        </w:rPr>
        <w:t>, “The Environmental Justice Implications of Quantitative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113. </w:t>
      </w:r>
      <w:r w:rsidRPr="008F4A33">
        <w:rPr>
          <w:rFonts w:ascii="Tahoma" w:hAnsi="Tahoma" w:cs="Tahoma"/>
          <w:i/>
          <w:lang w:val="en-US"/>
        </w:rPr>
        <w:t>M.E. Shere</w:t>
      </w:r>
      <w:r w:rsidRPr="008E26E4">
        <w:rPr>
          <w:rFonts w:ascii="Tahoma" w:hAnsi="Tahoma" w:cs="Tahoma"/>
          <w:i/>
          <w:lang w:val="en-GB"/>
        </w:rPr>
        <w:t>,</w:t>
      </w:r>
      <w:r w:rsidRPr="009B2E31">
        <w:rPr>
          <w:rFonts w:ascii="Tahoma" w:hAnsi="Tahoma" w:cs="Tahoma"/>
          <w:lang w:val="en-US"/>
        </w:rPr>
        <w:t xml:space="preserve"> “The Myth of Meaningful Environmental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439-440.</w:t>
      </w:r>
    </w:p>
  </w:footnote>
  <w:footnote w:id="35">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20.</w:t>
      </w:r>
    </w:p>
  </w:footnote>
  <w:footnote w:id="36">
    <w:p w:rsidR="00ED6DB8" w:rsidRPr="006654AD" w:rsidRDefault="00ED6DB8" w:rsidP="00ED6DB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8F4A33">
        <w:rPr>
          <w:rFonts w:ascii="Tahoma" w:hAnsi="Tahoma" w:cs="Tahoma"/>
          <w:bCs/>
          <w:i/>
          <w:lang w:val="en-US"/>
        </w:rPr>
        <w:t>Ibid</w:t>
      </w:r>
      <w:r w:rsidRPr="006654AD">
        <w:rPr>
          <w:rFonts w:ascii="Tahoma" w:hAnsi="Tahoma" w:cs="Tahoma"/>
          <w:bCs/>
          <w:i/>
        </w:rPr>
        <w:t>.</w:t>
      </w:r>
      <w:r w:rsidRPr="006654AD">
        <w:rPr>
          <w:rFonts w:ascii="Tahoma" w:hAnsi="Tahoma" w:cs="Tahoma"/>
          <w:bCs/>
        </w:rPr>
        <w:t xml:space="preserve">, </w:t>
      </w:r>
      <w:r w:rsidRPr="009B2E31">
        <w:rPr>
          <w:rFonts w:ascii="Tahoma" w:hAnsi="Tahoma" w:cs="Tahoma"/>
          <w:bCs/>
        </w:rPr>
        <w:t>σ</w:t>
      </w:r>
      <w:r w:rsidRPr="006654AD">
        <w:rPr>
          <w:rFonts w:ascii="Tahoma" w:hAnsi="Tahoma" w:cs="Tahoma"/>
          <w:bCs/>
        </w:rPr>
        <w:t>. 27.</w:t>
      </w:r>
    </w:p>
  </w:footnote>
  <w:footnote w:id="3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Π.χ., η εκτίμηση της έκθεσης σε επικίνδυνες ουσίες που βρίσκονται στο πόσιμο νερό, στηρίζεται στην παραδοχή ότι όλοι καταναλώνουν δύο λίτρα νερό την ημέρα. Ένα άλλο παράδειγμα είναι η παραδοχή ότι όλοι αναπνέουν είκοσι κυβικά μέτρα αέρα την ημέρα.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8F4A33">
        <w:rPr>
          <w:rFonts w:ascii="Tahoma" w:hAnsi="Tahoma" w:cs="Tahoma"/>
          <w:i/>
          <w:lang w:val="en-GB"/>
        </w:rPr>
        <w:t>A. Rosenthal, G.M. Gray, J.D. Graham</w:t>
      </w:r>
      <w:r w:rsidRPr="009B2E31">
        <w:rPr>
          <w:rFonts w:ascii="Tahoma" w:hAnsi="Tahoma" w:cs="Tahoma"/>
          <w:lang w:val="en-GB"/>
        </w:rPr>
        <w:t>, “Legislating Acceptable Cancer Risk from Exposure to Toxic Chemicals”, Ecology Law Qua</w:t>
      </w:r>
      <w:r>
        <w:rPr>
          <w:rFonts w:ascii="Tahoma" w:hAnsi="Tahoma" w:cs="Tahoma"/>
          <w:lang w:val="en-GB"/>
        </w:rPr>
        <w:t>rterly, Vol. 19, 1992,</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292.</w:t>
      </w:r>
    </w:p>
  </w:footnote>
  <w:footnote w:id="38">
    <w:p w:rsidR="00ED6DB8" w:rsidRPr="00E73FB8"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R.R. Kuehn</w:t>
      </w:r>
      <w:r w:rsidRPr="009B2E31">
        <w:rPr>
          <w:rFonts w:ascii="Tahoma" w:hAnsi="Tahoma" w:cs="Tahoma"/>
          <w:lang w:val="en-US"/>
        </w:rPr>
        <w:t>, “The Environmental Justice Implications of Quantitative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114. </w:t>
      </w:r>
      <w:r w:rsidRPr="008F4A33">
        <w:rPr>
          <w:rFonts w:ascii="Tahoma" w:hAnsi="Tahoma" w:cs="Tahoma"/>
          <w:i/>
          <w:lang w:val="en-GB"/>
        </w:rPr>
        <w:t>T.O. McGarity</w:t>
      </w:r>
      <w:r w:rsidRPr="009B2E31">
        <w:rPr>
          <w:rFonts w:ascii="Tahoma" w:hAnsi="Tahoma" w:cs="Tahoma"/>
          <w:lang w:val="en-GB"/>
        </w:rPr>
        <w:t>, “</w:t>
      </w:r>
      <w:r w:rsidRPr="009B2E31">
        <w:rPr>
          <w:rFonts w:ascii="Tahoma" w:hAnsi="Tahoma" w:cs="Tahoma"/>
          <w:lang w:val="en-US"/>
        </w:rPr>
        <w:t>Politics by Other Means: Law, Science, and Policy in EPA’s Implementation of the Food Quality Protection Act”, Administrative Law</w:t>
      </w:r>
      <w:r>
        <w:rPr>
          <w:rFonts w:ascii="Tahoma" w:hAnsi="Tahoma" w:cs="Tahoma"/>
          <w:lang w:val="en-US"/>
        </w:rPr>
        <w:t xml:space="preserve"> Review, Vol. 53, 2001,</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133 (</w:t>
      </w:r>
      <w:r w:rsidRPr="009B2E31">
        <w:rPr>
          <w:rFonts w:ascii="Tahoma" w:hAnsi="Tahoma" w:cs="Tahoma"/>
        </w:rPr>
        <w:t>ο</w:t>
      </w:r>
      <w:r w:rsidRPr="009B2E31">
        <w:rPr>
          <w:rFonts w:ascii="Tahoma" w:hAnsi="Tahoma" w:cs="Tahoma"/>
          <w:lang w:val="en-GB"/>
        </w:rPr>
        <w:t xml:space="preserve"> </w:t>
      </w:r>
      <w:r w:rsidRPr="009B2E31">
        <w:rPr>
          <w:rFonts w:ascii="Tahoma" w:hAnsi="Tahoma" w:cs="Tahoma"/>
        </w:rPr>
        <w:t>οποίος</w:t>
      </w:r>
      <w:r w:rsidRPr="009B2E31">
        <w:rPr>
          <w:rFonts w:ascii="Tahoma" w:hAnsi="Tahoma" w:cs="Tahoma"/>
          <w:lang w:val="en-GB"/>
        </w:rPr>
        <w:t xml:space="preserve"> </w:t>
      </w:r>
      <w:r w:rsidRPr="009B2E31">
        <w:rPr>
          <w:rFonts w:ascii="Tahoma" w:hAnsi="Tahoma" w:cs="Tahoma"/>
        </w:rPr>
        <w:t>τονίζει</w:t>
      </w:r>
      <w:r w:rsidRPr="009B2E31">
        <w:rPr>
          <w:rFonts w:ascii="Tahoma" w:hAnsi="Tahoma" w:cs="Tahoma"/>
          <w:lang w:val="en-GB"/>
        </w:rPr>
        <w:t xml:space="preserve"> </w:t>
      </w:r>
      <w:r w:rsidRPr="009B2E31">
        <w:rPr>
          <w:rFonts w:ascii="Tahoma" w:hAnsi="Tahoma" w:cs="Tahoma"/>
        </w:rPr>
        <w:t>ότι</w:t>
      </w:r>
      <w:r w:rsidRPr="009B2E31">
        <w:rPr>
          <w:rFonts w:ascii="Tahoma" w:hAnsi="Tahoma" w:cs="Tahoma"/>
          <w:lang w:val="en-GB"/>
        </w:rPr>
        <w:t xml:space="preserve">, </w:t>
      </w:r>
      <w:r w:rsidRPr="009B2E31">
        <w:rPr>
          <w:rFonts w:ascii="Tahoma" w:hAnsi="Tahoma" w:cs="Tahoma"/>
        </w:rPr>
        <w:t>ειδικότερα</w:t>
      </w:r>
      <w:r w:rsidRPr="009B2E31">
        <w:rPr>
          <w:rFonts w:ascii="Tahoma" w:hAnsi="Tahoma" w:cs="Tahoma"/>
          <w:lang w:val="en-GB"/>
        </w:rPr>
        <w:t xml:space="preserve"> </w:t>
      </w:r>
      <w:r w:rsidRPr="009B2E31">
        <w:rPr>
          <w:rFonts w:ascii="Tahoma" w:hAnsi="Tahoma" w:cs="Tahoma"/>
        </w:rPr>
        <w:t>στα</w:t>
      </w:r>
      <w:r w:rsidRPr="009B2E31">
        <w:rPr>
          <w:rFonts w:ascii="Tahoma" w:hAnsi="Tahoma" w:cs="Tahoma"/>
          <w:lang w:val="en-GB"/>
        </w:rPr>
        <w:t xml:space="preserve"> </w:t>
      </w:r>
      <w:r w:rsidRPr="009B2E31">
        <w:rPr>
          <w:rFonts w:ascii="Tahoma" w:hAnsi="Tahoma" w:cs="Tahoma"/>
        </w:rPr>
        <w:t>ζητήματα</w:t>
      </w:r>
      <w:r w:rsidRPr="009B2E31">
        <w:rPr>
          <w:rFonts w:ascii="Tahoma" w:hAnsi="Tahoma" w:cs="Tahoma"/>
          <w:lang w:val="en-GB"/>
        </w:rPr>
        <w:t xml:space="preserve"> </w:t>
      </w:r>
      <w:r w:rsidRPr="009B2E31">
        <w:rPr>
          <w:rFonts w:ascii="Tahoma" w:hAnsi="Tahoma" w:cs="Tahoma"/>
        </w:rPr>
        <w:t>διατροφής</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αναγκαία</w:t>
      </w:r>
      <w:r w:rsidRPr="009B2E31">
        <w:rPr>
          <w:rFonts w:ascii="Tahoma" w:hAnsi="Tahoma" w:cs="Tahoma"/>
          <w:lang w:val="en-GB"/>
        </w:rPr>
        <w:t xml:space="preserve"> </w:t>
      </w:r>
      <w:r w:rsidRPr="009B2E31">
        <w:rPr>
          <w:rFonts w:ascii="Tahoma" w:hAnsi="Tahoma" w:cs="Tahoma"/>
        </w:rPr>
        <w:t>δεδομένα</w:t>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τα</w:t>
      </w:r>
      <w:r w:rsidRPr="009B2E31">
        <w:rPr>
          <w:rFonts w:ascii="Tahoma" w:hAnsi="Tahoma" w:cs="Tahoma"/>
          <w:lang w:val="en-GB"/>
        </w:rPr>
        <w:t xml:space="preserve"> </w:t>
      </w:r>
      <w:r w:rsidRPr="009B2E31">
        <w:rPr>
          <w:rFonts w:ascii="Tahoma" w:hAnsi="Tahoma" w:cs="Tahoma"/>
        </w:rPr>
        <w:t>υπολείμματα</w:t>
      </w:r>
      <w:r w:rsidRPr="009B2E31">
        <w:rPr>
          <w:rFonts w:ascii="Tahoma" w:hAnsi="Tahoma" w:cs="Tahoma"/>
          <w:lang w:val="en-GB"/>
        </w:rPr>
        <w:t xml:space="preserve"> </w:t>
      </w:r>
      <w:r w:rsidRPr="009B2E31">
        <w:rPr>
          <w:rFonts w:ascii="Tahoma" w:hAnsi="Tahoma" w:cs="Tahoma"/>
        </w:rPr>
        <w:t>φυτοφαρμάκων</w:t>
      </w:r>
      <w:r w:rsidRPr="009B2E31">
        <w:rPr>
          <w:rFonts w:ascii="Tahoma" w:hAnsi="Tahoma" w:cs="Tahoma"/>
          <w:lang w:val="en-GB"/>
        </w:rPr>
        <w:t xml:space="preserve"> </w:t>
      </w:r>
      <w:r w:rsidRPr="009B2E31">
        <w:rPr>
          <w:rFonts w:ascii="Tahoma" w:hAnsi="Tahoma" w:cs="Tahoma"/>
        </w:rPr>
        <w:t>είναι</w:t>
      </w:r>
      <w:r w:rsidRPr="009B2E31">
        <w:rPr>
          <w:rFonts w:ascii="Tahoma" w:hAnsi="Tahoma" w:cs="Tahoma"/>
          <w:lang w:val="en-GB"/>
        </w:rPr>
        <w:t xml:space="preserve"> </w:t>
      </w:r>
      <w:r w:rsidRPr="009B2E31">
        <w:rPr>
          <w:rFonts w:ascii="Tahoma" w:hAnsi="Tahoma" w:cs="Tahoma"/>
        </w:rPr>
        <w:t>σε</w:t>
      </w:r>
      <w:r w:rsidRPr="009B2E31">
        <w:rPr>
          <w:rFonts w:ascii="Tahoma" w:hAnsi="Tahoma" w:cs="Tahoma"/>
          <w:lang w:val="en-GB"/>
        </w:rPr>
        <w:t xml:space="preserve"> </w:t>
      </w:r>
      <w:r w:rsidRPr="009B2E31">
        <w:rPr>
          <w:rFonts w:ascii="Tahoma" w:hAnsi="Tahoma" w:cs="Tahoma"/>
        </w:rPr>
        <w:t>τέτοιο</w:t>
      </w:r>
      <w:r w:rsidRPr="009B2E31">
        <w:rPr>
          <w:rFonts w:ascii="Tahoma" w:hAnsi="Tahoma" w:cs="Tahoma"/>
          <w:lang w:val="en-GB"/>
        </w:rPr>
        <w:t xml:space="preserve"> </w:t>
      </w:r>
      <w:r w:rsidRPr="009B2E31">
        <w:rPr>
          <w:rFonts w:ascii="Tahoma" w:hAnsi="Tahoma" w:cs="Tahoma"/>
        </w:rPr>
        <w:t>βαθμό</w:t>
      </w:r>
      <w:r w:rsidRPr="009B2E31">
        <w:rPr>
          <w:rFonts w:ascii="Tahoma" w:hAnsi="Tahoma" w:cs="Tahoma"/>
          <w:lang w:val="en-GB"/>
        </w:rPr>
        <w:t xml:space="preserve"> </w:t>
      </w:r>
      <w:r w:rsidRPr="009B2E31">
        <w:rPr>
          <w:rFonts w:ascii="Tahoma" w:hAnsi="Tahoma" w:cs="Tahoma"/>
        </w:rPr>
        <w:t>ανεπαρκή</w:t>
      </w:r>
      <w:r w:rsidRPr="009B2E31">
        <w:rPr>
          <w:rFonts w:ascii="Tahoma" w:hAnsi="Tahoma" w:cs="Tahoma"/>
          <w:lang w:val="en-GB"/>
        </w:rPr>
        <w:t xml:space="preserve">, </w:t>
      </w:r>
      <w:r w:rsidRPr="009B2E31">
        <w:rPr>
          <w:rFonts w:ascii="Tahoma" w:hAnsi="Tahoma" w:cs="Tahoma"/>
        </w:rPr>
        <w:t>ώστε</w:t>
      </w:r>
      <w:r w:rsidRPr="009B2E31">
        <w:rPr>
          <w:rFonts w:ascii="Tahoma" w:hAnsi="Tahoma" w:cs="Tahoma"/>
          <w:lang w:val="en-GB"/>
        </w:rPr>
        <w:t xml:space="preserve"> </w:t>
      </w:r>
      <w:r w:rsidRPr="009B2E31">
        <w:rPr>
          <w:rFonts w:ascii="Tahoma" w:hAnsi="Tahoma" w:cs="Tahoma"/>
        </w:rPr>
        <w:t>η</w:t>
      </w:r>
      <w:r w:rsidRPr="009B2E31">
        <w:rPr>
          <w:rFonts w:ascii="Tahoma" w:hAnsi="Tahoma" w:cs="Tahoma"/>
          <w:lang w:val="en-GB"/>
        </w:rPr>
        <w:t xml:space="preserve"> </w:t>
      </w:r>
      <w:r w:rsidRPr="009B2E31">
        <w:rPr>
          <w:rFonts w:ascii="Tahoma" w:hAnsi="Tahoma" w:cs="Tahoma"/>
        </w:rPr>
        <w:t>εκτίμηση</w:t>
      </w:r>
      <w:r w:rsidRPr="009B2E31">
        <w:rPr>
          <w:rFonts w:ascii="Tahoma" w:hAnsi="Tahoma" w:cs="Tahoma"/>
          <w:lang w:val="en-GB"/>
        </w:rPr>
        <w:t xml:space="preserve">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έκθεσης</w:t>
      </w:r>
      <w:r w:rsidRPr="009B2E31">
        <w:rPr>
          <w:rFonts w:ascii="Tahoma" w:hAnsi="Tahoma" w:cs="Tahoma"/>
          <w:lang w:val="en-GB"/>
        </w:rPr>
        <w:t xml:space="preserve"> </w:t>
      </w:r>
      <w:r w:rsidRPr="009B2E31">
        <w:rPr>
          <w:rFonts w:ascii="Tahoma" w:hAnsi="Tahoma" w:cs="Tahoma"/>
        </w:rPr>
        <w:t>να</w:t>
      </w:r>
      <w:r w:rsidRPr="009B2E31">
        <w:rPr>
          <w:rFonts w:ascii="Tahoma" w:hAnsi="Tahoma" w:cs="Tahoma"/>
          <w:lang w:val="en-GB"/>
        </w:rPr>
        <w:t xml:space="preserve"> </w:t>
      </w:r>
      <w:r w:rsidRPr="009B2E31">
        <w:rPr>
          <w:rFonts w:ascii="Tahoma" w:hAnsi="Tahoma" w:cs="Tahoma"/>
        </w:rPr>
        <w:t>μην</w:t>
      </w:r>
      <w:r w:rsidRPr="009B2E31">
        <w:rPr>
          <w:rFonts w:ascii="Tahoma" w:hAnsi="Tahoma" w:cs="Tahoma"/>
          <w:lang w:val="en-GB"/>
        </w:rPr>
        <w:t xml:space="preserve"> </w:t>
      </w:r>
      <w:r w:rsidRPr="009B2E31">
        <w:rPr>
          <w:rFonts w:ascii="Tahoma" w:hAnsi="Tahoma" w:cs="Tahoma"/>
        </w:rPr>
        <w:t>μπορεί</w:t>
      </w:r>
      <w:r w:rsidRPr="009B2E31">
        <w:rPr>
          <w:rFonts w:ascii="Tahoma" w:hAnsi="Tahoma" w:cs="Tahoma"/>
          <w:lang w:val="en-GB"/>
        </w:rPr>
        <w:t xml:space="preserve"> </w:t>
      </w:r>
      <w:r w:rsidRPr="009B2E31">
        <w:rPr>
          <w:rFonts w:ascii="Tahoma" w:hAnsi="Tahoma" w:cs="Tahoma"/>
        </w:rPr>
        <w:t>να</w:t>
      </w:r>
      <w:r w:rsidRPr="009B2E31">
        <w:rPr>
          <w:rFonts w:ascii="Tahoma" w:hAnsi="Tahoma" w:cs="Tahoma"/>
          <w:lang w:val="en-GB"/>
        </w:rPr>
        <w:t xml:space="preserve"> </w:t>
      </w:r>
      <w:r w:rsidRPr="009B2E31">
        <w:rPr>
          <w:rFonts w:ascii="Tahoma" w:hAnsi="Tahoma" w:cs="Tahoma"/>
        </w:rPr>
        <w:t>στηριχθεί</w:t>
      </w:r>
      <w:r w:rsidRPr="009B2E31">
        <w:rPr>
          <w:rFonts w:ascii="Tahoma" w:hAnsi="Tahoma" w:cs="Tahoma"/>
          <w:lang w:val="en-GB"/>
        </w:rPr>
        <w:t xml:space="preserve"> </w:t>
      </w:r>
      <w:r w:rsidRPr="009B2E31">
        <w:rPr>
          <w:rFonts w:ascii="Tahoma" w:hAnsi="Tahoma" w:cs="Tahoma"/>
        </w:rPr>
        <w:t>σε</w:t>
      </w:r>
      <w:r w:rsidRPr="009B2E31">
        <w:rPr>
          <w:rFonts w:ascii="Tahoma" w:hAnsi="Tahoma" w:cs="Tahoma"/>
          <w:lang w:val="en-GB"/>
        </w:rPr>
        <w:t xml:space="preserve"> </w:t>
      </w:r>
      <w:r w:rsidRPr="009B2E31">
        <w:rPr>
          <w:rFonts w:ascii="Tahoma" w:hAnsi="Tahoma" w:cs="Tahoma"/>
        </w:rPr>
        <w:t>αυτά</w:t>
      </w:r>
      <w:r w:rsidRPr="009B2E31">
        <w:rPr>
          <w:rFonts w:ascii="Tahoma" w:hAnsi="Tahoma" w:cs="Tahoma"/>
          <w:lang w:val="en-GB"/>
        </w:rPr>
        <w:t>.)</w:t>
      </w:r>
      <w:r>
        <w:rPr>
          <w:rFonts w:ascii="Tahoma" w:hAnsi="Tahoma" w:cs="Tahoma"/>
          <w:lang w:val="en-GB"/>
        </w:rPr>
        <w:t xml:space="preserve"> Βλ</w:t>
      </w:r>
      <w:r w:rsidRPr="00E73FB8">
        <w:rPr>
          <w:rFonts w:ascii="Tahoma" w:hAnsi="Tahoma" w:cs="Tahoma"/>
          <w:lang w:val="fr-FR"/>
        </w:rPr>
        <w:t xml:space="preserve">., </w:t>
      </w:r>
      <w:r>
        <w:rPr>
          <w:rFonts w:ascii="Tahoma" w:hAnsi="Tahoma" w:cs="Tahoma"/>
          <w:lang w:val="en-GB"/>
        </w:rPr>
        <w:t>επίσης</w:t>
      </w:r>
      <w:r w:rsidRPr="00E73FB8">
        <w:rPr>
          <w:rFonts w:ascii="Tahoma" w:hAnsi="Tahoma" w:cs="Tahoma"/>
          <w:lang w:val="fr-FR"/>
        </w:rPr>
        <w:t xml:space="preserve">, </w:t>
      </w:r>
      <w:r w:rsidRPr="00E73FB8">
        <w:rPr>
          <w:rFonts w:ascii="Tahoma" w:hAnsi="Tahoma" w:cs="Tahoma"/>
          <w:i/>
          <w:lang w:val="fr-FR"/>
        </w:rPr>
        <w:t>C. Noiville, N. de Sadeleer</w:t>
      </w:r>
      <w:r w:rsidRPr="00E73FB8">
        <w:rPr>
          <w:rFonts w:ascii="Tahoma" w:hAnsi="Tahoma" w:cs="Tahoma"/>
          <w:lang w:val="fr-FR"/>
        </w:rPr>
        <w:t xml:space="preserve">, “La gestion des risques ecologiques et sanitaires a l’epreuve des chiffres. </w:t>
      </w:r>
      <w:r>
        <w:rPr>
          <w:rFonts w:ascii="Tahoma" w:hAnsi="Tahoma" w:cs="Tahoma"/>
          <w:lang w:val="en-US"/>
        </w:rPr>
        <w:t>Le</w:t>
      </w:r>
      <w:r w:rsidRPr="00E73FB8">
        <w:rPr>
          <w:rFonts w:ascii="Tahoma" w:hAnsi="Tahoma" w:cs="Tahoma"/>
        </w:rPr>
        <w:t xml:space="preserve"> </w:t>
      </w:r>
      <w:r>
        <w:rPr>
          <w:rFonts w:ascii="Tahoma" w:hAnsi="Tahoma" w:cs="Tahoma"/>
          <w:lang w:val="en-US"/>
        </w:rPr>
        <w:t>droit</w:t>
      </w:r>
      <w:r w:rsidRPr="00E73FB8">
        <w:rPr>
          <w:rFonts w:ascii="Tahoma" w:hAnsi="Tahoma" w:cs="Tahoma"/>
        </w:rPr>
        <w:t xml:space="preserve"> </w:t>
      </w:r>
      <w:r>
        <w:rPr>
          <w:rFonts w:ascii="Tahoma" w:hAnsi="Tahoma" w:cs="Tahoma"/>
          <w:lang w:val="en-US"/>
        </w:rPr>
        <w:t>entre</w:t>
      </w:r>
      <w:r w:rsidRPr="00E73FB8">
        <w:rPr>
          <w:rFonts w:ascii="Tahoma" w:hAnsi="Tahoma" w:cs="Tahoma"/>
        </w:rPr>
        <w:t xml:space="preserve"> </w:t>
      </w:r>
      <w:r>
        <w:rPr>
          <w:rFonts w:ascii="Tahoma" w:hAnsi="Tahoma" w:cs="Tahoma"/>
          <w:lang w:val="en-US"/>
        </w:rPr>
        <w:t>enjeux</w:t>
      </w:r>
      <w:r w:rsidRPr="00E73FB8">
        <w:rPr>
          <w:rFonts w:ascii="Tahoma" w:hAnsi="Tahoma" w:cs="Tahoma"/>
        </w:rPr>
        <w:t xml:space="preserve"> </w:t>
      </w:r>
      <w:r>
        <w:rPr>
          <w:rFonts w:ascii="Tahoma" w:hAnsi="Tahoma" w:cs="Tahoma"/>
          <w:lang w:val="en-US"/>
        </w:rPr>
        <w:t>scientifiques</w:t>
      </w:r>
      <w:r w:rsidRPr="00E73FB8">
        <w:rPr>
          <w:rFonts w:ascii="Tahoma" w:hAnsi="Tahoma" w:cs="Tahoma"/>
        </w:rPr>
        <w:t xml:space="preserve"> </w:t>
      </w:r>
      <w:r>
        <w:rPr>
          <w:rFonts w:ascii="Tahoma" w:hAnsi="Tahoma" w:cs="Tahoma"/>
          <w:lang w:val="en-US"/>
        </w:rPr>
        <w:t>et</w:t>
      </w:r>
      <w:r w:rsidRPr="00E73FB8">
        <w:rPr>
          <w:rFonts w:ascii="Tahoma" w:hAnsi="Tahoma" w:cs="Tahoma"/>
        </w:rPr>
        <w:t xml:space="preserve"> </w:t>
      </w:r>
      <w:r>
        <w:rPr>
          <w:rFonts w:ascii="Tahoma" w:hAnsi="Tahoma" w:cs="Tahoma"/>
          <w:lang w:val="en-US"/>
        </w:rPr>
        <w:t>politiques</w:t>
      </w:r>
      <w:r w:rsidRPr="00E73FB8">
        <w:rPr>
          <w:rFonts w:ascii="Tahoma" w:hAnsi="Tahoma" w:cs="Tahoma"/>
        </w:rPr>
        <w:t xml:space="preserve">”, </w:t>
      </w:r>
      <w:r>
        <w:rPr>
          <w:rFonts w:ascii="Tahoma" w:hAnsi="Tahoma" w:cs="Tahoma"/>
          <w:lang w:val="en-US"/>
        </w:rPr>
        <w:t>Revue</w:t>
      </w:r>
      <w:r w:rsidRPr="00E73FB8">
        <w:rPr>
          <w:rFonts w:ascii="Tahoma" w:hAnsi="Tahoma" w:cs="Tahoma"/>
        </w:rPr>
        <w:t xml:space="preserve"> </w:t>
      </w:r>
      <w:r>
        <w:rPr>
          <w:rFonts w:ascii="Tahoma" w:hAnsi="Tahoma" w:cs="Tahoma"/>
          <w:lang w:val="en-US"/>
        </w:rPr>
        <w:t>du</w:t>
      </w:r>
      <w:r w:rsidRPr="00E73FB8">
        <w:rPr>
          <w:rFonts w:ascii="Tahoma" w:hAnsi="Tahoma" w:cs="Tahoma"/>
        </w:rPr>
        <w:t xml:space="preserve"> </w:t>
      </w:r>
      <w:r>
        <w:rPr>
          <w:rFonts w:ascii="Tahoma" w:hAnsi="Tahoma" w:cs="Tahoma"/>
          <w:lang w:val="en-US"/>
        </w:rPr>
        <w:t>Droit</w:t>
      </w:r>
      <w:r w:rsidRPr="00E73FB8">
        <w:rPr>
          <w:rFonts w:ascii="Tahoma" w:hAnsi="Tahoma" w:cs="Tahoma"/>
        </w:rPr>
        <w:t xml:space="preserve"> </w:t>
      </w:r>
      <w:r>
        <w:rPr>
          <w:rFonts w:ascii="Tahoma" w:hAnsi="Tahoma" w:cs="Tahoma"/>
          <w:lang w:val="en-US"/>
        </w:rPr>
        <w:t>de</w:t>
      </w:r>
      <w:r w:rsidRPr="00E73FB8">
        <w:rPr>
          <w:rFonts w:ascii="Tahoma" w:hAnsi="Tahoma" w:cs="Tahoma"/>
        </w:rPr>
        <w:t xml:space="preserve"> </w:t>
      </w:r>
      <w:r>
        <w:rPr>
          <w:rFonts w:ascii="Tahoma" w:hAnsi="Tahoma" w:cs="Tahoma"/>
          <w:lang w:val="en-US"/>
        </w:rPr>
        <w:t>l</w:t>
      </w:r>
      <w:r w:rsidRPr="00E73FB8">
        <w:rPr>
          <w:rFonts w:ascii="Tahoma" w:hAnsi="Tahoma" w:cs="Tahoma"/>
        </w:rPr>
        <w:t>’</w:t>
      </w:r>
      <w:r>
        <w:rPr>
          <w:rFonts w:ascii="Tahoma" w:hAnsi="Tahoma" w:cs="Tahoma"/>
          <w:lang w:val="en-US"/>
        </w:rPr>
        <w:t>Union</w:t>
      </w:r>
      <w:r w:rsidRPr="00E73FB8">
        <w:rPr>
          <w:rFonts w:ascii="Tahoma" w:hAnsi="Tahoma" w:cs="Tahoma"/>
        </w:rPr>
        <w:t xml:space="preserve"> </w:t>
      </w:r>
      <w:r>
        <w:rPr>
          <w:rFonts w:ascii="Tahoma" w:hAnsi="Tahoma" w:cs="Tahoma"/>
          <w:lang w:val="en-US"/>
        </w:rPr>
        <w:t>Europeenne</w:t>
      </w:r>
      <w:r w:rsidRPr="00E73FB8">
        <w:rPr>
          <w:rFonts w:ascii="Tahoma" w:hAnsi="Tahoma" w:cs="Tahoma"/>
        </w:rPr>
        <w:t xml:space="preserve">, </w:t>
      </w:r>
      <w:r>
        <w:rPr>
          <w:rFonts w:ascii="Tahoma" w:hAnsi="Tahoma" w:cs="Tahoma"/>
          <w:lang w:val="en-US"/>
        </w:rPr>
        <w:t>No</w:t>
      </w:r>
      <w:r w:rsidRPr="00E73FB8">
        <w:rPr>
          <w:rFonts w:ascii="Tahoma" w:hAnsi="Tahoma" w:cs="Tahoma"/>
        </w:rPr>
        <w:t xml:space="preserve"> 2, 2001, </w:t>
      </w:r>
      <w:r>
        <w:rPr>
          <w:rFonts w:ascii="Tahoma" w:hAnsi="Tahoma" w:cs="Tahoma"/>
        </w:rPr>
        <w:t>σ. 399 (οι οποίοι τονίζουν ότι σε ό,τι αφορά στην ανθρώπινη υγεία, οι τοπικές και πολιτιστικές ιδιαιτερότητες, κυρίως στον τομέα της διατροφής, είναι παράγοντες που δυσκολεύουν το έργο των εκτιμητών όταν πρόκειται να αξιολογήσουν το βαθμό έκθεσης των καταναλωτών).</w:t>
      </w:r>
      <w:r w:rsidRPr="00E73FB8">
        <w:rPr>
          <w:rFonts w:ascii="Tahoma" w:hAnsi="Tahoma" w:cs="Tahoma"/>
        </w:rPr>
        <w:t xml:space="preserve"> </w:t>
      </w:r>
    </w:p>
  </w:footnote>
  <w:footnote w:id="39">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GB"/>
        </w:rPr>
        <w:t>Red Book</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20. </w:t>
      </w:r>
      <w:r w:rsidRPr="008F4A33">
        <w:rPr>
          <w:rFonts w:ascii="Tahoma" w:hAnsi="Tahoma" w:cs="Tahoma"/>
          <w:i/>
          <w:lang w:val="en-US"/>
        </w:rPr>
        <w:t>US EPA</w:t>
      </w:r>
      <w:r w:rsidRPr="009B2E31">
        <w:rPr>
          <w:rFonts w:ascii="Tahoma" w:hAnsi="Tahoma" w:cs="Tahoma"/>
          <w:lang w:val="en-US"/>
        </w:rPr>
        <w:t>, Proposed Guidelines for Carcinogen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17,971. </w:t>
      </w:r>
      <w:r w:rsidRPr="009B2E31">
        <w:rPr>
          <w:rFonts w:ascii="Tahoma" w:hAnsi="Tahoma" w:cs="Tahoma"/>
        </w:rPr>
        <w:t>Ανακοίνωση της Επιτροπής για την αρχή της προφύλαξης, ό.π., Παράρτημα ΙΙΙ.</w:t>
      </w:r>
    </w:p>
  </w:footnote>
  <w:footnote w:id="40">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US EPA</w:t>
      </w:r>
      <w:r w:rsidRPr="009B2E31">
        <w:rPr>
          <w:rFonts w:ascii="Tahoma" w:hAnsi="Tahoma" w:cs="Tahoma"/>
          <w:lang w:val="en-US"/>
        </w:rPr>
        <w:t>, Guidelines for Reproductive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56,308. </w:t>
      </w:r>
      <w:r w:rsidRPr="008F4A33">
        <w:rPr>
          <w:rFonts w:ascii="Tahoma" w:hAnsi="Tahoma" w:cs="Tahoma"/>
          <w:i/>
          <w:lang w:val="en-US"/>
        </w:rPr>
        <w:t>US EPA</w:t>
      </w:r>
      <w:r w:rsidRPr="009B2E31">
        <w:rPr>
          <w:rFonts w:ascii="Tahoma" w:hAnsi="Tahoma" w:cs="Tahoma"/>
          <w:lang w:val="en-US"/>
        </w:rPr>
        <w:t>, Guidelines for Development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63,819. </w:t>
      </w:r>
      <w:r w:rsidRPr="009B2E31">
        <w:rPr>
          <w:rFonts w:ascii="Tahoma" w:hAnsi="Tahoma" w:cs="Tahoma"/>
        </w:rPr>
        <w:t>Ανακοίνωση της Επιτροπής για την αρχή της προφύλαξης, ό.π., Παράρτημα ΙΙΙ.</w:t>
      </w:r>
    </w:p>
  </w:footnote>
  <w:footnote w:id="41">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F4A33">
        <w:rPr>
          <w:rFonts w:ascii="Tahoma" w:hAnsi="Tahoma" w:cs="Tahoma"/>
          <w:i/>
          <w:lang w:val="en-US"/>
        </w:rPr>
        <w:t>US EPA</w:t>
      </w:r>
      <w:r w:rsidRPr="009B2E31">
        <w:rPr>
          <w:rFonts w:ascii="Tahoma" w:hAnsi="Tahoma" w:cs="Tahoma"/>
          <w:lang w:val="en-US"/>
        </w:rPr>
        <w:t>, Guidelines for Development Toxicity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63,819. </w:t>
      </w:r>
    </w:p>
  </w:footnote>
  <w:footnote w:id="42">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smartTag w:uri="urn:schemas-microsoft-com:office:smarttags" w:element="country-region">
        <w:smartTag w:uri="urn:schemas-microsoft-com:office:smarttags" w:element="place">
          <w:r w:rsidRPr="008F4A33">
            <w:rPr>
              <w:rFonts w:ascii="Tahoma" w:hAnsi="Tahoma" w:cs="Tahoma"/>
              <w:i/>
              <w:lang w:val="en-US"/>
            </w:rPr>
            <w:t>US</w:t>
          </w:r>
        </w:smartTag>
      </w:smartTag>
      <w:r w:rsidRPr="008F4A33">
        <w:rPr>
          <w:rFonts w:ascii="Tahoma" w:hAnsi="Tahoma" w:cs="Tahoma"/>
          <w:i/>
          <w:lang w:val="en-US"/>
        </w:rPr>
        <w:t xml:space="preserve"> EPA,</w:t>
      </w:r>
      <w:r w:rsidRPr="009B2E31">
        <w:rPr>
          <w:rFonts w:ascii="Tahoma" w:hAnsi="Tahoma" w:cs="Tahoma"/>
          <w:lang w:val="en-US"/>
        </w:rPr>
        <w:t xml:space="preserve"> Guidelines for Carcinogen Risk Assessment</w:t>
      </w:r>
      <w:r w:rsidRPr="009B2E31">
        <w:rPr>
          <w:rFonts w:ascii="Tahoma" w:hAnsi="Tahoma" w:cs="Tahoma"/>
          <w:lang w:val="en-GB"/>
        </w:rPr>
        <w:t xml:space="preserve">, EPA/630/P-03/001F, March 2005, παρ. 5.3. </w:t>
      </w:r>
      <w:r w:rsidRPr="009B2E31">
        <w:rPr>
          <w:rFonts w:ascii="Tahoma" w:hAnsi="Tahoma" w:cs="Tahoma"/>
        </w:rPr>
        <w:t>και</w:t>
      </w:r>
      <w:r w:rsidRPr="009B2E31">
        <w:rPr>
          <w:rFonts w:ascii="Tahoma" w:hAnsi="Tahoma" w:cs="Tahoma"/>
          <w:lang w:val="en-GB"/>
        </w:rPr>
        <w:t xml:space="preserve"> 5.4.</w:t>
      </w:r>
    </w:p>
  </w:footnote>
  <w:footnote w:id="43">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Η </w:t>
      </w:r>
      <w:r w:rsidRPr="00C5172A">
        <w:rPr>
          <w:rFonts w:ascii="Tahoma" w:hAnsi="Tahoma" w:cs="Tahoma"/>
          <w:iCs/>
          <w:lang w:val="en-GB"/>
        </w:rPr>
        <w:t>Wendy</w:t>
      </w:r>
      <w:r w:rsidRPr="00C5172A">
        <w:rPr>
          <w:rFonts w:ascii="Tahoma" w:hAnsi="Tahoma" w:cs="Tahoma"/>
          <w:iCs/>
        </w:rPr>
        <w:t xml:space="preserve"> </w:t>
      </w:r>
      <w:r w:rsidRPr="00C5172A">
        <w:rPr>
          <w:rFonts w:ascii="Tahoma" w:hAnsi="Tahoma" w:cs="Tahoma"/>
          <w:iCs/>
          <w:lang w:val="en-GB"/>
        </w:rPr>
        <w:t>Wagner</w:t>
      </w:r>
      <w:r w:rsidRPr="009B2E31">
        <w:rPr>
          <w:rFonts w:ascii="Tahoma" w:hAnsi="Tahoma" w:cs="Tahoma"/>
        </w:rPr>
        <w:t xml:space="preserve"> ονομάζει το φαινόμενο της χρήσης περίπλοκων και δυσνόητων επιστημονικών και τεχνικών όρων ‘επιστημονικό συλλαβόγριφο’, που έχει σαν αποτέλεσμα να μη δίνει την ουσιαστική δυνατότητα στις αρμόδιες αρχές να προβούν στις κατάλληλες ρυθμίσεις. Βλ</w:t>
      </w:r>
      <w:r w:rsidRPr="009B2E31">
        <w:rPr>
          <w:rFonts w:ascii="Tahoma" w:hAnsi="Tahoma" w:cs="Tahoma"/>
          <w:lang w:val="en-GB"/>
        </w:rPr>
        <w:t xml:space="preserve">., </w:t>
      </w:r>
      <w:r w:rsidRPr="008F4A33">
        <w:rPr>
          <w:rFonts w:ascii="Tahoma" w:hAnsi="Tahoma" w:cs="Tahoma"/>
          <w:i/>
          <w:lang w:val="en-GB"/>
        </w:rPr>
        <w:t>W.</w:t>
      </w:r>
      <w:r w:rsidRPr="008F4A33">
        <w:rPr>
          <w:rFonts w:ascii="Tahoma" w:hAnsi="Tahoma" w:cs="Tahoma"/>
          <w:i/>
        </w:rPr>
        <w:t>Ε</w:t>
      </w:r>
      <w:r>
        <w:rPr>
          <w:rFonts w:ascii="Tahoma" w:hAnsi="Tahoma" w:cs="Tahoma"/>
          <w:i/>
          <w:lang w:val="en-GB"/>
        </w:rPr>
        <w:t xml:space="preserve">. Wagner, </w:t>
      </w:r>
      <w:r w:rsidRPr="009B2E31">
        <w:rPr>
          <w:rFonts w:ascii="Tahoma" w:hAnsi="Tahoma" w:cs="Tahoma"/>
          <w:lang w:val="en-GB"/>
        </w:rPr>
        <w:t xml:space="preserve">“The Science Charade in Toxic Risk Regulation”,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1617.</w:t>
      </w:r>
    </w:p>
  </w:footnote>
  <w:footnote w:id="44">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0B5523">
        <w:rPr>
          <w:rFonts w:ascii="Tahoma" w:hAnsi="Tahoma" w:cs="Tahoma"/>
          <w:i/>
          <w:lang w:val="en-US"/>
        </w:rPr>
        <w:t>US EPA</w:t>
      </w:r>
      <w:r w:rsidRPr="009B2E31">
        <w:rPr>
          <w:rFonts w:ascii="Tahoma" w:hAnsi="Tahoma" w:cs="Tahoma"/>
          <w:lang w:val="en-US"/>
        </w:rPr>
        <w:t>, Guidelines for Carcinogen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παρ</w:t>
      </w:r>
      <w:r w:rsidRPr="009B2E31">
        <w:rPr>
          <w:rFonts w:ascii="Tahoma" w:hAnsi="Tahoma" w:cs="Tahoma"/>
          <w:lang w:val="en-GB"/>
        </w:rPr>
        <w:t>. 5.4.</w:t>
      </w:r>
    </w:p>
  </w:footnote>
  <w:footnote w:id="45">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8F4A33">
        <w:rPr>
          <w:rFonts w:ascii="Tahoma" w:hAnsi="Tahoma" w:cs="Tahoma"/>
          <w:bCs/>
          <w:i/>
          <w:lang w:val="en-US"/>
        </w:rPr>
        <w:t>A. Babich</w:t>
      </w:r>
      <w:r w:rsidRPr="009B2E31">
        <w:rPr>
          <w:rFonts w:ascii="Tahoma" w:hAnsi="Tahoma" w:cs="Tahoma"/>
          <w:lang w:val="en-US"/>
        </w:rPr>
        <w:t xml:space="preserve">, “Too Much Science in Environmental Law”, </w:t>
      </w:r>
      <w:smartTag w:uri="urn:schemas-microsoft-com:office:smarttags" w:element="City">
        <w:smartTag w:uri="urn:schemas-microsoft-com:office:smarttags" w:element="place">
          <w:r w:rsidRPr="009B2E31">
            <w:rPr>
              <w:rFonts w:ascii="Tahoma" w:hAnsi="Tahoma" w:cs="Tahoma"/>
              <w:lang w:val="en-US"/>
            </w:rPr>
            <w:t>Columbia</w:t>
          </w:r>
        </w:smartTag>
      </w:smartTag>
      <w:r w:rsidRPr="009B2E31">
        <w:rPr>
          <w:rFonts w:ascii="Tahoma" w:hAnsi="Tahoma" w:cs="Tahoma"/>
          <w:lang w:val="en-US"/>
        </w:rPr>
        <w:t xml:space="preserve"> Journal of Environmental Law, Vol. 28</w:t>
      </w:r>
      <w:r w:rsidRPr="009B2E31">
        <w:rPr>
          <w:rFonts w:ascii="Tahoma" w:hAnsi="Tahoma" w:cs="Tahoma"/>
          <w:lang w:val="en-GB"/>
        </w:rPr>
        <w:t>(</w:t>
      </w:r>
      <w:r w:rsidRPr="009B2E31">
        <w:rPr>
          <w:rFonts w:ascii="Tahoma" w:hAnsi="Tahoma" w:cs="Tahoma"/>
          <w:lang w:val="en-US"/>
        </w:rPr>
        <w:t>1</w:t>
      </w:r>
      <w:r w:rsidRPr="009B2E31">
        <w:rPr>
          <w:rFonts w:ascii="Tahoma" w:hAnsi="Tahoma" w:cs="Tahoma"/>
          <w:lang w:val="en-GB"/>
        </w:rPr>
        <w:t>)</w:t>
      </w:r>
      <w:r w:rsidRPr="009B2E31">
        <w:rPr>
          <w:rFonts w:ascii="Tahoma" w:hAnsi="Tahoma" w:cs="Tahoma"/>
          <w:lang w:val="en-US"/>
        </w:rPr>
        <w:t xml:space="preserve">, 2003, </w:t>
      </w:r>
      <w:r w:rsidRPr="009B2E31">
        <w:rPr>
          <w:rFonts w:ascii="Tahoma" w:hAnsi="Tahoma" w:cs="Tahoma"/>
        </w:rPr>
        <w:t>σ</w:t>
      </w:r>
      <w:r w:rsidRPr="009B2E31">
        <w:rPr>
          <w:rFonts w:ascii="Tahoma" w:hAnsi="Tahoma" w:cs="Tahoma"/>
          <w:lang w:val="en-US"/>
        </w:rPr>
        <w:t>. 140-141.</w:t>
      </w:r>
      <w:r w:rsidRPr="009B2E31">
        <w:rPr>
          <w:rFonts w:ascii="Tahoma" w:hAnsi="Tahoma" w:cs="Tahoma"/>
          <w:lang w:val="en-GB"/>
        </w:rPr>
        <w:t xml:space="preserve"> </w:t>
      </w:r>
      <w:r w:rsidRPr="008F4A33">
        <w:rPr>
          <w:rFonts w:ascii="Tahoma" w:hAnsi="Tahoma" w:cs="Tahoma"/>
          <w:i/>
          <w:lang w:val="en-GB"/>
        </w:rPr>
        <w:t>H</w:t>
      </w:r>
      <w:r w:rsidRPr="008F4A33">
        <w:rPr>
          <w:rFonts w:ascii="Tahoma" w:hAnsi="Tahoma" w:cs="Tahoma"/>
          <w:i/>
          <w:lang w:val="en-US"/>
        </w:rPr>
        <w:t>. Latin</w:t>
      </w:r>
      <w:r w:rsidRPr="009B2E31">
        <w:rPr>
          <w:rFonts w:ascii="Tahoma" w:hAnsi="Tahoma" w:cs="Tahoma"/>
          <w:lang w:val="en-US"/>
        </w:rPr>
        <w:t>, “Good Science, Bad Regulation, and Toxic Risk Assessment”, Yale Journal on R</w:t>
      </w:r>
      <w:r>
        <w:rPr>
          <w:rFonts w:ascii="Tahoma" w:hAnsi="Tahoma" w:cs="Tahoma"/>
          <w:lang w:val="en-US"/>
        </w:rPr>
        <w:t>egulation, Vol. 5, 1988,</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91.</w:t>
      </w:r>
      <w:r w:rsidRPr="009B2E31">
        <w:rPr>
          <w:rFonts w:ascii="Tahoma" w:hAnsi="Tahoma" w:cs="Tahoma"/>
          <w:lang w:val="en-US"/>
        </w:rPr>
        <w:t xml:space="preserve"> </w:t>
      </w:r>
    </w:p>
  </w:footnote>
  <w:footnote w:id="46">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Pr>
          <w:rFonts w:ascii="Tahoma" w:hAnsi="Tahoma" w:cs="Tahoma"/>
          <w:i/>
          <w:lang w:val="en-US"/>
        </w:rPr>
        <w:t>J.</w:t>
      </w:r>
      <w:r w:rsidRPr="008F4A33">
        <w:rPr>
          <w:rFonts w:ascii="Tahoma" w:hAnsi="Tahoma" w:cs="Tahoma"/>
          <w:i/>
          <w:lang w:val="en-US"/>
        </w:rPr>
        <w:t xml:space="preserve"> van Loon</w:t>
      </w:r>
      <w:r w:rsidRPr="009B2E31">
        <w:rPr>
          <w:rFonts w:ascii="Tahoma" w:hAnsi="Tahoma" w:cs="Tahoma"/>
          <w:lang w:val="en-US"/>
        </w:rPr>
        <w:t xml:space="preserve">, “Virtual Risks in an Age of Cybernetic Reproduction”,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166.</w:t>
      </w:r>
    </w:p>
  </w:footnote>
  <w:footnote w:id="4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A. Stirling</w:t>
      </w:r>
      <w:r w:rsidRPr="009B2E31">
        <w:rPr>
          <w:rFonts w:ascii="Tahoma" w:hAnsi="Tahoma" w:cs="Tahoma"/>
          <w:lang w:val="en-US"/>
        </w:rPr>
        <w:t>, “Opening up or closing down? Analysis, participation and power in the social appraisal of technology”,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224.</w:t>
      </w:r>
    </w:p>
  </w:footnote>
  <w:footnote w:id="4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National Research Council</w:t>
      </w:r>
      <w:r w:rsidRPr="009B2E31">
        <w:rPr>
          <w:rFonts w:ascii="Tahoma" w:hAnsi="Tahoma" w:cs="Tahoma"/>
          <w:lang w:val="en-US"/>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27.</w:t>
      </w:r>
    </w:p>
  </w:footnote>
  <w:footnote w:id="49">
    <w:p w:rsidR="00ED6DB8" w:rsidRPr="006654AD"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A. Stirling</w:t>
      </w:r>
      <w:r w:rsidRPr="009B2E31">
        <w:rPr>
          <w:rFonts w:ascii="Tahoma" w:hAnsi="Tahoma" w:cs="Tahoma"/>
          <w:lang w:val="en-US"/>
        </w:rPr>
        <w:t>, “Opening up or closing down? Analysis, participation and power in the social appraisal of technology”,</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225. </w:t>
      </w:r>
    </w:p>
  </w:footnote>
  <w:footnote w:id="50">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GB"/>
        </w:rPr>
        <w:t>H</w:t>
      </w:r>
      <w:r w:rsidRPr="00570FA9">
        <w:rPr>
          <w:rFonts w:ascii="Tahoma" w:hAnsi="Tahoma" w:cs="Tahoma"/>
          <w:i/>
          <w:lang w:val="en-US"/>
        </w:rPr>
        <w:t>. Latin</w:t>
      </w:r>
      <w:r w:rsidRPr="009B2E31">
        <w:rPr>
          <w:rFonts w:ascii="Tahoma" w:hAnsi="Tahoma" w:cs="Tahoma"/>
          <w:lang w:val="en-US"/>
        </w:rPr>
        <w:t xml:space="preserve">, “Good Science, Bad Regulation, and Toxic Risk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92-93. </w:t>
      </w:r>
      <w:r w:rsidRPr="00570FA9">
        <w:rPr>
          <w:rFonts w:ascii="Tahoma" w:hAnsi="Tahoma" w:cs="Tahoma"/>
          <w:i/>
          <w:lang w:val="en-GB"/>
        </w:rPr>
        <w:t>D.E. Adelman</w:t>
      </w:r>
      <w:r w:rsidRPr="009B2E31">
        <w:rPr>
          <w:rFonts w:ascii="Tahoma" w:hAnsi="Tahoma" w:cs="Tahoma"/>
          <w:lang w:val="en-GB"/>
        </w:rPr>
        <w:t>, “The False Promise of the Genomics Revolution for Environmental Law”, Harvard Environmental L</w:t>
      </w:r>
      <w:r>
        <w:rPr>
          <w:rFonts w:ascii="Tahoma" w:hAnsi="Tahoma" w:cs="Tahoma"/>
          <w:lang w:val="en-GB"/>
        </w:rPr>
        <w:t>aw Review, Vol. 29,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w:t>
      </w:r>
    </w:p>
  </w:footnote>
  <w:footnote w:id="51">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GB"/>
        </w:rPr>
        <w:t>W.E. Wagner</w:t>
      </w:r>
      <w:r w:rsidRPr="009B2E31">
        <w:rPr>
          <w:rFonts w:ascii="Tahoma" w:hAnsi="Tahoma" w:cs="Tahoma"/>
          <w:lang w:val="en-GB"/>
        </w:rPr>
        <w:t xml:space="preserve">, “The Science Charade in Toxic Risk Regulation”,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1674 </w:t>
      </w:r>
      <w:r w:rsidRPr="009B2E31">
        <w:rPr>
          <w:rFonts w:ascii="Tahoma" w:hAnsi="Tahoma" w:cs="Tahoma"/>
        </w:rPr>
        <w:t>επ</w:t>
      </w:r>
      <w:r w:rsidRPr="009B2E31">
        <w:rPr>
          <w:rFonts w:ascii="Tahoma" w:hAnsi="Tahoma" w:cs="Tahoma"/>
          <w:lang w:val="en-GB"/>
        </w:rPr>
        <w:t xml:space="preserve">. </w:t>
      </w:r>
      <w:r w:rsidRPr="00570FA9">
        <w:rPr>
          <w:rFonts w:ascii="Tahoma" w:hAnsi="Tahoma" w:cs="Tahoma"/>
          <w:i/>
        </w:rPr>
        <w:t>Της ίδιας</w:t>
      </w:r>
      <w:r w:rsidRPr="009B2E31">
        <w:rPr>
          <w:rFonts w:ascii="Tahoma" w:hAnsi="Tahoma" w:cs="Tahoma"/>
        </w:rPr>
        <w:t>,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Bad</w:t>
      </w:r>
      <w:r w:rsidRPr="009B2E31">
        <w:rPr>
          <w:rFonts w:ascii="Tahoma" w:hAnsi="Tahoma" w:cs="Tahoma"/>
        </w:rPr>
        <w:t xml:space="preserve"> </w:t>
      </w:r>
      <w:r w:rsidRPr="009B2E31">
        <w:rPr>
          <w:rFonts w:ascii="Tahoma" w:hAnsi="Tahoma" w:cs="Tahoma"/>
          <w:lang w:val="en-US"/>
        </w:rPr>
        <w:t>Science</w:t>
      </w:r>
      <w:r w:rsidRPr="009B2E31">
        <w:rPr>
          <w:rFonts w:ascii="Tahoma" w:hAnsi="Tahoma" w:cs="Tahoma"/>
        </w:rPr>
        <w:t xml:space="preserve">’ </w:t>
      </w:r>
      <w:r w:rsidRPr="009B2E31">
        <w:rPr>
          <w:rFonts w:ascii="Tahoma" w:hAnsi="Tahoma" w:cs="Tahoma"/>
          <w:lang w:val="en-US"/>
        </w:rPr>
        <w:t>Fiction</w:t>
      </w:r>
      <w:r w:rsidRPr="009B2E31">
        <w:rPr>
          <w:rFonts w:ascii="Tahoma" w:hAnsi="Tahoma" w:cs="Tahoma"/>
        </w:rPr>
        <w:t xml:space="preserve">: </w:t>
      </w:r>
      <w:r w:rsidRPr="009B2E31">
        <w:rPr>
          <w:rFonts w:ascii="Tahoma" w:hAnsi="Tahoma" w:cs="Tahoma"/>
          <w:lang w:val="en-US"/>
        </w:rPr>
        <w:t>Reclaiming</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Debate</w:t>
      </w:r>
      <w:r w:rsidRPr="009B2E31">
        <w:rPr>
          <w:rFonts w:ascii="Tahoma" w:hAnsi="Tahoma" w:cs="Tahoma"/>
        </w:rPr>
        <w:t xml:space="preserve"> </w:t>
      </w:r>
      <w:r w:rsidRPr="009B2E31">
        <w:rPr>
          <w:rFonts w:ascii="Tahoma" w:hAnsi="Tahoma" w:cs="Tahoma"/>
          <w:lang w:val="en-US"/>
        </w:rPr>
        <w:t>over</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Role</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US"/>
        </w:rPr>
        <w:t>Science</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Public</w:t>
      </w:r>
      <w:r w:rsidRPr="009B2E31">
        <w:rPr>
          <w:rFonts w:ascii="Tahoma" w:hAnsi="Tahoma" w:cs="Tahoma"/>
        </w:rPr>
        <w:t xml:space="preserve"> </w:t>
      </w:r>
      <w:r w:rsidRPr="009B2E31">
        <w:rPr>
          <w:rFonts w:ascii="Tahoma" w:hAnsi="Tahoma" w:cs="Tahoma"/>
          <w:lang w:val="en-US"/>
        </w:rPr>
        <w:t>Health</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Regulation</w:t>
      </w:r>
      <w:r w:rsidRPr="009B2E31">
        <w:rPr>
          <w:rFonts w:ascii="Tahoma" w:hAnsi="Tahoma" w:cs="Tahoma"/>
        </w:rPr>
        <w:t>”, ό.π., σ. 64 (η οποία τονίζει ότι η επιλογή των επιπέδων έκθεσης σ’ ένα κίνδυνο δεν ανήκει στην επιστήμη διότι η κρίση για την απόδειξη του αιτιώδους συνδέσμου μεταξύ του επιλεγόμενου επιπέδου και της ασθένειας δεν στηρίζεται σε επαληθεύσιμες μεθόδους.) Βλ</w:t>
      </w:r>
      <w:r w:rsidRPr="009B2E31">
        <w:rPr>
          <w:rFonts w:ascii="Tahoma" w:hAnsi="Tahoma" w:cs="Tahoma"/>
          <w:lang w:val="en-GB"/>
        </w:rPr>
        <w:t xml:space="preserve">., </w:t>
      </w:r>
      <w:r w:rsidRPr="009B2E31">
        <w:rPr>
          <w:rFonts w:ascii="Tahoma" w:hAnsi="Tahoma" w:cs="Tahoma"/>
        </w:rPr>
        <w:t>επίσης</w:t>
      </w:r>
      <w:r w:rsidRPr="009B2E31">
        <w:rPr>
          <w:rFonts w:ascii="Tahoma" w:hAnsi="Tahoma" w:cs="Tahoma"/>
          <w:lang w:val="en-GB"/>
        </w:rPr>
        <w:t xml:space="preserve">,   </w:t>
      </w:r>
      <w:r w:rsidRPr="00570FA9">
        <w:rPr>
          <w:rFonts w:ascii="Tahoma" w:hAnsi="Tahoma" w:cs="Tahoma"/>
          <w:i/>
          <w:lang w:val="en-US"/>
        </w:rPr>
        <w:t>J.S. Applegate</w:t>
      </w:r>
      <w:r w:rsidRPr="009B2E31">
        <w:rPr>
          <w:rFonts w:ascii="Tahoma" w:hAnsi="Tahoma" w:cs="Tahoma"/>
          <w:lang w:val="en-US"/>
        </w:rPr>
        <w:t>, “A Beginning and not an End in Itself: The Role of Risk Assessment in Environmental Decision Making”, University of Cincinnat</w:t>
      </w:r>
      <w:r>
        <w:rPr>
          <w:rFonts w:ascii="Tahoma" w:hAnsi="Tahoma" w:cs="Tahoma"/>
          <w:lang w:val="en-US"/>
        </w:rPr>
        <w:t>i Law Review, Vol. 63, 1995,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1666.</w:t>
      </w:r>
    </w:p>
  </w:footnote>
  <w:footnote w:id="52">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GB"/>
        </w:rPr>
        <w:t>W.E. Wagner</w:t>
      </w:r>
      <w:r w:rsidRPr="009B2E31">
        <w:rPr>
          <w:rFonts w:ascii="Tahoma" w:hAnsi="Tahoma" w:cs="Tahoma"/>
          <w:lang w:val="en-GB"/>
        </w:rPr>
        <w:t xml:space="preserve">, “The Science Charade in Toxic Risk Regulation”,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1675.</w:t>
      </w:r>
    </w:p>
  </w:footnote>
  <w:footnote w:id="53">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J.S. Freeman, R.D. Godsil</w:t>
      </w:r>
      <w:r w:rsidRPr="009B2E31">
        <w:rPr>
          <w:rFonts w:ascii="Tahoma" w:hAnsi="Tahoma" w:cs="Tahoma"/>
          <w:lang w:val="en-US"/>
        </w:rPr>
        <w:t>, “The Question of Risk: Incorporating Community Perceptions into Environmental Risk Assessments”, Fordham Urban L</w:t>
      </w:r>
      <w:r>
        <w:rPr>
          <w:rFonts w:ascii="Tahoma" w:hAnsi="Tahoma" w:cs="Tahoma"/>
          <w:lang w:val="en-US"/>
        </w:rPr>
        <w:t>aw Journal, Vol. 21, 1994,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576</w:t>
      </w:r>
      <w:r w:rsidRPr="009B2E31">
        <w:rPr>
          <w:rFonts w:ascii="Tahoma" w:hAnsi="Tahoma" w:cs="Tahoma"/>
          <w:lang w:val="en-GB"/>
        </w:rPr>
        <w:t xml:space="preserve"> (</w:t>
      </w:r>
      <w:r w:rsidRPr="009B2E31">
        <w:rPr>
          <w:rFonts w:ascii="Tahoma" w:hAnsi="Tahoma" w:cs="Tahoma"/>
        </w:rPr>
        <w:t>οι</w:t>
      </w:r>
      <w:r w:rsidRPr="009B2E31">
        <w:rPr>
          <w:rFonts w:ascii="Tahoma" w:hAnsi="Tahoma" w:cs="Tahoma"/>
          <w:lang w:val="en-GB"/>
        </w:rPr>
        <w:t xml:space="preserve"> </w:t>
      </w:r>
      <w:r w:rsidRPr="009B2E31">
        <w:rPr>
          <w:rFonts w:ascii="Tahoma" w:hAnsi="Tahoma" w:cs="Tahoma"/>
        </w:rPr>
        <w:t>οποίοι</w:t>
      </w:r>
      <w:r w:rsidRPr="009B2E31">
        <w:rPr>
          <w:rFonts w:ascii="Tahoma" w:hAnsi="Tahoma" w:cs="Tahoma"/>
          <w:lang w:val="en-GB"/>
        </w:rPr>
        <w:t xml:space="preserve"> </w:t>
      </w:r>
      <w:r w:rsidRPr="009B2E31">
        <w:rPr>
          <w:rFonts w:ascii="Tahoma" w:hAnsi="Tahoma" w:cs="Tahoma"/>
        </w:rPr>
        <w:t>υποστηρίζουν</w:t>
      </w:r>
      <w:r w:rsidRPr="009B2E31">
        <w:rPr>
          <w:rFonts w:ascii="Tahoma" w:hAnsi="Tahoma" w:cs="Tahoma"/>
          <w:lang w:val="en-GB"/>
        </w:rPr>
        <w:t xml:space="preserve"> </w:t>
      </w:r>
      <w:r w:rsidRPr="009B2E31">
        <w:rPr>
          <w:rFonts w:ascii="Tahoma" w:hAnsi="Tahoma" w:cs="Tahoma"/>
        </w:rPr>
        <w:t>ότι</w:t>
      </w:r>
      <w:r w:rsidRPr="009B2E31">
        <w:rPr>
          <w:rFonts w:ascii="Tahoma" w:hAnsi="Tahoma" w:cs="Tahoma"/>
          <w:lang w:val="en-GB"/>
        </w:rPr>
        <w:t xml:space="preserve"> </w:t>
      </w:r>
      <w:r w:rsidRPr="009B2E31">
        <w:rPr>
          <w:rFonts w:ascii="Tahoma" w:hAnsi="Tahoma" w:cs="Tahoma"/>
        </w:rPr>
        <w:t>η</w:t>
      </w:r>
      <w:r w:rsidRPr="009B2E31">
        <w:rPr>
          <w:rFonts w:ascii="Tahoma" w:hAnsi="Tahoma" w:cs="Tahoma"/>
          <w:lang w:val="en-GB"/>
        </w:rPr>
        <w:t xml:space="preserve"> </w:t>
      </w:r>
      <w:r w:rsidRPr="009B2E31">
        <w:rPr>
          <w:rFonts w:ascii="Tahoma" w:hAnsi="Tahoma" w:cs="Tahoma"/>
        </w:rPr>
        <w:t>πρόσληψη</w:t>
      </w:r>
      <w:r w:rsidRPr="009B2E31">
        <w:rPr>
          <w:rFonts w:ascii="Tahoma" w:hAnsi="Tahoma" w:cs="Tahoma"/>
          <w:lang w:val="en-GB"/>
        </w:rPr>
        <w:t xml:space="preserve"> </w:t>
      </w:r>
      <w:r w:rsidRPr="009B2E31">
        <w:rPr>
          <w:rFonts w:ascii="Tahoma" w:hAnsi="Tahoma" w:cs="Tahoma"/>
        </w:rPr>
        <w:t>των</w:t>
      </w:r>
      <w:r w:rsidRPr="009B2E31">
        <w:rPr>
          <w:rFonts w:ascii="Tahoma" w:hAnsi="Tahoma" w:cs="Tahoma"/>
          <w:lang w:val="en-GB"/>
        </w:rPr>
        <w:t xml:space="preserve"> </w:t>
      </w:r>
      <w:r w:rsidRPr="009B2E31">
        <w:rPr>
          <w:rFonts w:ascii="Tahoma" w:hAnsi="Tahoma" w:cs="Tahoma"/>
        </w:rPr>
        <w:t>κινδύνων</w:t>
      </w:r>
      <w:r w:rsidRPr="009B2E31">
        <w:rPr>
          <w:rFonts w:ascii="Tahoma" w:hAnsi="Tahoma" w:cs="Tahoma"/>
          <w:lang w:val="en-GB"/>
        </w:rPr>
        <w:t xml:space="preserve"> </w:t>
      </w:r>
      <w:r w:rsidRPr="009B2E31">
        <w:rPr>
          <w:rFonts w:ascii="Tahoma" w:hAnsi="Tahoma" w:cs="Tahoma"/>
        </w:rPr>
        <w:t>από</w:t>
      </w:r>
      <w:r w:rsidRPr="009B2E31">
        <w:rPr>
          <w:rFonts w:ascii="Tahoma" w:hAnsi="Tahoma" w:cs="Tahoma"/>
          <w:lang w:val="en-GB"/>
        </w:rPr>
        <w:t xml:space="preserve"> </w:t>
      </w:r>
      <w:r w:rsidRPr="009B2E31">
        <w:rPr>
          <w:rFonts w:ascii="Tahoma" w:hAnsi="Tahoma" w:cs="Tahoma"/>
        </w:rPr>
        <w:t>το</w:t>
      </w:r>
      <w:r w:rsidRPr="009B2E31">
        <w:rPr>
          <w:rFonts w:ascii="Tahoma" w:hAnsi="Tahoma" w:cs="Tahoma"/>
          <w:lang w:val="en-GB"/>
        </w:rPr>
        <w:t xml:space="preserve"> </w:t>
      </w:r>
      <w:r w:rsidRPr="009B2E31">
        <w:rPr>
          <w:rFonts w:ascii="Tahoma" w:hAnsi="Tahoma" w:cs="Tahoma"/>
        </w:rPr>
        <w:t>κοινό</w:t>
      </w:r>
      <w:r w:rsidRPr="009B2E31">
        <w:rPr>
          <w:rFonts w:ascii="Tahoma" w:hAnsi="Tahoma" w:cs="Tahoma"/>
          <w:lang w:val="en-GB"/>
        </w:rPr>
        <w:t xml:space="preserve"> </w:t>
      </w:r>
      <w:r w:rsidRPr="009B2E31">
        <w:rPr>
          <w:rFonts w:ascii="Tahoma" w:hAnsi="Tahoma" w:cs="Tahoma"/>
        </w:rPr>
        <w:t>πρέπει</w:t>
      </w:r>
      <w:r w:rsidRPr="009B2E31">
        <w:rPr>
          <w:rFonts w:ascii="Tahoma" w:hAnsi="Tahoma" w:cs="Tahoma"/>
          <w:lang w:val="en-GB"/>
        </w:rPr>
        <w:t xml:space="preserve"> </w:t>
      </w:r>
      <w:r w:rsidRPr="009B2E31">
        <w:rPr>
          <w:rFonts w:ascii="Tahoma" w:hAnsi="Tahoma" w:cs="Tahoma"/>
        </w:rPr>
        <w:t>να</w:t>
      </w:r>
      <w:r w:rsidRPr="009B2E31">
        <w:rPr>
          <w:rFonts w:ascii="Tahoma" w:hAnsi="Tahoma" w:cs="Tahoma"/>
          <w:lang w:val="en-GB"/>
        </w:rPr>
        <w:t xml:space="preserve"> </w:t>
      </w:r>
      <w:r w:rsidRPr="009B2E31">
        <w:rPr>
          <w:rFonts w:ascii="Tahoma" w:hAnsi="Tahoma" w:cs="Tahoma"/>
        </w:rPr>
        <w:t>έχει</w:t>
      </w:r>
      <w:r w:rsidRPr="009B2E31">
        <w:rPr>
          <w:rFonts w:ascii="Tahoma" w:hAnsi="Tahoma" w:cs="Tahoma"/>
          <w:lang w:val="en-GB"/>
        </w:rPr>
        <w:t xml:space="preserve"> </w:t>
      </w:r>
      <w:r w:rsidRPr="009B2E31">
        <w:rPr>
          <w:rFonts w:ascii="Tahoma" w:hAnsi="Tahoma" w:cs="Tahoma"/>
        </w:rPr>
        <w:t>την</w:t>
      </w:r>
      <w:r w:rsidRPr="009B2E31">
        <w:rPr>
          <w:rFonts w:ascii="Tahoma" w:hAnsi="Tahoma" w:cs="Tahoma"/>
          <w:lang w:val="en-GB"/>
        </w:rPr>
        <w:t xml:space="preserve"> </w:t>
      </w:r>
      <w:r w:rsidRPr="009B2E31">
        <w:rPr>
          <w:rFonts w:ascii="Tahoma" w:hAnsi="Tahoma" w:cs="Tahoma"/>
        </w:rPr>
        <w:t>ίδια</w:t>
      </w:r>
      <w:r w:rsidRPr="009B2E31">
        <w:rPr>
          <w:rFonts w:ascii="Tahoma" w:hAnsi="Tahoma" w:cs="Tahoma"/>
          <w:lang w:val="en-GB"/>
        </w:rPr>
        <w:t xml:space="preserve"> </w:t>
      </w:r>
      <w:r w:rsidRPr="009B2E31">
        <w:rPr>
          <w:rFonts w:ascii="Tahoma" w:hAnsi="Tahoma" w:cs="Tahoma"/>
        </w:rPr>
        <w:t>κανονιστική</w:t>
      </w:r>
      <w:r w:rsidRPr="009B2E31">
        <w:rPr>
          <w:rFonts w:ascii="Tahoma" w:hAnsi="Tahoma" w:cs="Tahoma"/>
          <w:lang w:val="en-GB"/>
        </w:rPr>
        <w:t xml:space="preserve"> </w:t>
      </w:r>
      <w:r w:rsidRPr="009B2E31">
        <w:rPr>
          <w:rFonts w:ascii="Tahoma" w:hAnsi="Tahoma" w:cs="Tahoma"/>
        </w:rPr>
        <w:t>βαρύτητα</w:t>
      </w:r>
      <w:r w:rsidRPr="009B2E31">
        <w:rPr>
          <w:rFonts w:ascii="Tahoma" w:hAnsi="Tahoma" w:cs="Tahoma"/>
          <w:lang w:val="en-GB"/>
        </w:rPr>
        <w:t xml:space="preserve"> </w:t>
      </w:r>
      <w:r w:rsidRPr="009B2E31">
        <w:rPr>
          <w:rFonts w:ascii="Tahoma" w:hAnsi="Tahoma" w:cs="Tahoma"/>
        </w:rPr>
        <w:t>με</w:t>
      </w:r>
      <w:r w:rsidRPr="009B2E31">
        <w:rPr>
          <w:rFonts w:ascii="Tahoma" w:hAnsi="Tahoma" w:cs="Tahoma"/>
          <w:lang w:val="en-GB"/>
        </w:rPr>
        <w:t xml:space="preserve"> </w:t>
      </w:r>
      <w:r w:rsidRPr="009B2E31">
        <w:rPr>
          <w:rFonts w:ascii="Tahoma" w:hAnsi="Tahoma" w:cs="Tahoma"/>
        </w:rPr>
        <w:t>την</w:t>
      </w:r>
      <w:r w:rsidRPr="009B2E31">
        <w:rPr>
          <w:rFonts w:ascii="Tahoma" w:hAnsi="Tahoma" w:cs="Tahoma"/>
          <w:lang w:val="en-GB"/>
        </w:rPr>
        <w:t xml:space="preserve"> </w:t>
      </w:r>
      <w:r w:rsidRPr="009B2E31">
        <w:rPr>
          <w:rFonts w:ascii="Tahoma" w:hAnsi="Tahoma" w:cs="Tahoma"/>
        </w:rPr>
        <w:t>εκτίμηση</w:t>
      </w:r>
      <w:r w:rsidRPr="009B2E31">
        <w:rPr>
          <w:rFonts w:ascii="Tahoma" w:hAnsi="Tahoma" w:cs="Tahoma"/>
          <w:lang w:val="en-GB"/>
        </w:rPr>
        <w:t xml:space="preserve"> </w:t>
      </w:r>
      <w:r w:rsidRPr="009B2E31">
        <w:rPr>
          <w:rFonts w:ascii="Tahoma" w:hAnsi="Tahoma" w:cs="Tahoma"/>
        </w:rPr>
        <w:t>των</w:t>
      </w:r>
      <w:r w:rsidRPr="009B2E31">
        <w:rPr>
          <w:rFonts w:ascii="Tahoma" w:hAnsi="Tahoma" w:cs="Tahoma"/>
          <w:lang w:val="en-GB"/>
        </w:rPr>
        <w:t xml:space="preserve"> </w:t>
      </w:r>
      <w:r w:rsidRPr="009B2E31">
        <w:rPr>
          <w:rFonts w:ascii="Tahoma" w:hAnsi="Tahoma" w:cs="Tahoma"/>
        </w:rPr>
        <w:t>ειδικών</w:t>
      </w:r>
      <w:r w:rsidRPr="009B2E31">
        <w:rPr>
          <w:rFonts w:ascii="Tahoma" w:hAnsi="Tahoma" w:cs="Tahoma"/>
          <w:lang w:val="en-GB"/>
        </w:rPr>
        <w:t xml:space="preserve">.) </w:t>
      </w:r>
    </w:p>
  </w:footnote>
  <w:footnote w:id="54">
    <w:p w:rsidR="00ED6DB8" w:rsidRPr="00504299" w:rsidRDefault="00ED6DB8" w:rsidP="00ED6DB8">
      <w:pPr>
        <w:pStyle w:val="FootnoteText"/>
        <w:jc w:val="both"/>
        <w:rPr>
          <w:rFonts w:ascii="Tahoma" w:hAnsi="Tahoma" w:cs="Tahoma"/>
        </w:rPr>
      </w:pPr>
      <w:r>
        <w:rPr>
          <w:rStyle w:val="FootnoteReference"/>
        </w:rPr>
        <w:footnoteRef/>
      </w:r>
      <w:r w:rsidRPr="00504299">
        <w:t xml:space="preserve"> </w:t>
      </w:r>
      <w:r w:rsidRPr="00504299">
        <w:rPr>
          <w:rFonts w:ascii="Tahoma" w:hAnsi="Tahoma" w:cs="Tahoma"/>
          <w:i/>
          <w:lang w:val="en-US"/>
        </w:rPr>
        <w:t>R</w:t>
      </w:r>
      <w:r w:rsidRPr="00504299">
        <w:rPr>
          <w:rFonts w:ascii="Tahoma" w:hAnsi="Tahoma" w:cs="Tahoma"/>
          <w:i/>
        </w:rPr>
        <w:t xml:space="preserve">. </w:t>
      </w:r>
      <w:r w:rsidRPr="00504299">
        <w:rPr>
          <w:rFonts w:ascii="Tahoma" w:hAnsi="Tahoma" w:cs="Tahoma"/>
          <w:i/>
          <w:lang w:val="en-US"/>
        </w:rPr>
        <w:t>Sclove</w:t>
      </w:r>
      <w:r w:rsidRPr="00504299">
        <w:rPr>
          <w:rFonts w:ascii="Tahoma" w:hAnsi="Tahoma" w:cs="Tahoma"/>
        </w:rPr>
        <w:t xml:space="preserve">, </w:t>
      </w:r>
      <w:r>
        <w:rPr>
          <w:rFonts w:ascii="Tahoma" w:hAnsi="Tahoma" w:cs="Tahoma"/>
          <w:lang w:val="en-US"/>
        </w:rPr>
        <w:t>Democracy</w:t>
      </w:r>
      <w:r w:rsidRPr="00504299">
        <w:rPr>
          <w:rFonts w:ascii="Tahoma" w:hAnsi="Tahoma" w:cs="Tahoma"/>
        </w:rPr>
        <w:t xml:space="preserve"> </w:t>
      </w:r>
      <w:r>
        <w:rPr>
          <w:rFonts w:ascii="Tahoma" w:hAnsi="Tahoma" w:cs="Tahoma"/>
          <w:lang w:val="en-US"/>
        </w:rPr>
        <w:t>and</w:t>
      </w:r>
      <w:r w:rsidRPr="00504299">
        <w:rPr>
          <w:rFonts w:ascii="Tahoma" w:hAnsi="Tahoma" w:cs="Tahoma"/>
        </w:rPr>
        <w:t xml:space="preserve"> </w:t>
      </w:r>
      <w:r>
        <w:rPr>
          <w:rFonts w:ascii="Tahoma" w:hAnsi="Tahoma" w:cs="Tahoma"/>
          <w:lang w:val="en-US"/>
        </w:rPr>
        <w:t>Technology</w:t>
      </w:r>
      <w:r w:rsidRPr="00504299">
        <w:rPr>
          <w:rFonts w:ascii="Tahoma" w:hAnsi="Tahoma" w:cs="Tahoma"/>
        </w:rPr>
        <w:t xml:space="preserve">, </w:t>
      </w:r>
      <w:smartTag w:uri="urn:schemas-microsoft-com:office:smarttags" w:element="State">
        <w:smartTag w:uri="urn:schemas-microsoft-com:office:smarttags" w:element="place">
          <w:r>
            <w:rPr>
              <w:rFonts w:ascii="Tahoma" w:hAnsi="Tahoma" w:cs="Tahoma"/>
              <w:lang w:val="en-US"/>
            </w:rPr>
            <w:t>New</w:t>
          </w:r>
          <w:r w:rsidRPr="00504299">
            <w:rPr>
              <w:rFonts w:ascii="Tahoma" w:hAnsi="Tahoma" w:cs="Tahoma"/>
            </w:rPr>
            <w:t xml:space="preserve"> </w:t>
          </w:r>
          <w:r>
            <w:rPr>
              <w:rFonts w:ascii="Tahoma" w:hAnsi="Tahoma" w:cs="Tahoma"/>
              <w:lang w:val="en-US"/>
            </w:rPr>
            <w:t>York</w:t>
          </w:r>
        </w:smartTag>
      </w:smartTag>
      <w:r w:rsidRPr="00504299">
        <w:rPr>
          <w:rFonts w:ascii="Tahoma" w:hAnsi="Tahoma" w:cs="Tahoma"/>
        </w:rPr>
        <w:t xml:space="preserve">, </w:t>
      </w:r>
      <w:r>
        <w:rPr>
          <w:rFonts w:ascii="Tahoma" w:hAnsi="Tahoma" w:cs="Tahoma"/>
          <w:lang w:val="en-US"/>
        </w:rPr>
        <w:t>Guilford</w:t>
      </w:r>
      <w:r w:rsidRPr="00504299">
        <w:rPr>
          <w:rFonts w:ascii="Tahoma" w:hAnsi="Tahoma" w:cs="Tahoma"/>
        </w:rPr>
        <w:t xml:space="preserve"> </w:t>
      </w:r>
      <w:r>
        <w:rPr>
          <w:rFonts w:ascii="Tahoma" w:hAnsi="Tahoma" w:cs="Tahoma"/>
          <w:lang w:val="en-US"/>
        </w:rPr>
        <w:t>Press</w:t>
      </w:r>
      <w:r w:rsidRPr="00504299">
        <w:rPr>
          <w:rFonts w:ascii="Tahoma" w:hAnsi="Tahoma" w:cs="Tahoma"/>
        </w:rPr>
        <w:t xml:space="preserve">, 1995, </w:t>
      </w:r>
      <w:r>
        <w:rPr>
          <w:rFonts w:ascii="Tahoma" w:hAnsi="Tahoma" w:cs="Tahoma"/>
        </w:rPr>
        <w:t>σ</w:t>
      </w:r>
      <w:r w:rsidRPr="00504299">
        <w:rPr>
          <w:rFonts w:ascii="Tahoma" w:hAnsi="Tahoma" w:cs="Tahoma"/>
        </w:rPr>
        <w:t>. 200 (</w:t>
      </w:r>
      <w:r>
        <w:rPr>
          <w:rFonts w:ascii="Tahoma" w:hAnsi="Tahoma" w:cs="Tahoma"/>
        </w:rPr>
        <w:t>ο</w:t>
      </w:r>
      <w:r w:rsidRPr="00504299">
        <w:rPr>
          <w:rFonts w:ascii="Tahoma" w:hAnsi="Tahoma" w:cs="Tahoma"/>
        </w:rPr>
        <w:t xml:space="preserve"> </w:t>
      </w:r>
      <w:r>
        <w:rPr>
          <w:rFonts w:ascii="Tahoma" w:hAnsi="Tahoma" w:cs="Tahoma"/>
        </w:rPr>
        <w:t>οποίος</w:t>
      </w:r>
      <w:r w:rsidRPr="00504299">
        <w:rPr>
          <w:rFonts w:ascii="Tahoma" w:hAnsi="Tahoma" w:cs="Tahoma"/>
        </w:rPr>
        <w:t xml:space="preserve"> </w:t>
      </w:r>
      <w:r>
        <w:rPr>
          <w:rFonts w:ascii="Tahoma" w:hAnsi="Tahoma" w:cs="Tahoma"/>
        </w:rPr>
        <w:t>επισημαίνει</w:t>
      </w:r>
      <w:r w:rsidRPr="00504299">
        <w:rPr>
          <w:rFonts w:ascii="Tahoma" w:hAnsi="Tahoma" w:cs="Tahoma"/>
        </w:rPr>
        <w:t xml:space="preserve"> </w:t>
      </w:r>
      <w:r>
        <w:rPr>
          <w:rFonts w:ascii="Tahoma" w:hAnsi="Tahoma" w:cs="Tahoma"/>
        </w:rPr>
        <w:t>ότι</w:t>
      </w:r>
      <w:r w:rsidRPr="00504299">
        <w:rPr>
          <w:rFonts w:ascii="Tahoma" w:hAnsi="Tahoma" w:cs="Tahoma"/>
        </w:rPr>
        <w:t xml:space="preserve"> </w:t>
      </w:r>
      <w:r>
        <w:rPr>
          <w:rFonts w:ascii="Tahoma" w:hAnsi="Tahoma" w:cs="Tahoma"/>
        </w:rPr>
        <w:t>αυτό</w:t>
      </w:r>
      <w:r w:rsidRPr="00504299">
        <w:rPr>
          <w:rFonts w:ascii="Tahoma" w:hAnsi="Tahoma" w:cs="Tahoma"/>
        </w:rPr>
        <w:t xml:space="preserve"> </w:t>
      </w:r>
      <w:r>
        <w:rPr>
          <w:rFonts w:ascii="Tahoma" w:hAnsi="Tahoma" w:cs="Tahoma"/>
        </w:rPr>
        <w:t>άρχισε</w:t>
      </w:r>
      <w:r w:rsidRPr="00504299">
        <w:rPr>
          <w:rFonts w:ascii="Tahoma" w:hAnsi="Tahoma" w:cs="Tahoma"/>
        </w:rPr>
        <w:t xml:space="preserve"> </w:t>
      </w:r>
      <w:r>
        <w:rPr>
          <w:rFonts w:ascii="Tahoma" w:hAnsi="Tahoma" w:cs="Tahoma"/>
        </w:rPr>
        <w:t>να</w:t>
      </w:r>
      <w:r w:rsidRPr="00504299">
        <w:rPr>
          <w:rFonts w:ascii="Tahoma" w:hAnsi="Tahoma" w:cs="Tahoma"/>
        </w:rPr>
        <w:t xml:space="preserve"> </w:t>
      </w:r>
      <w:r>
        <w:rPr>
          <w:rFonts w:ascii="Tahoma" w:hAnsi="Tahoma" w:cs="Tahoma"/>
        </w:rPr>
        <w:t xml:space="preserve">αναγνωρίζεται και από τους επιστήμονες, αναφέρει δε το παράδειγμα της συνεργασίας των επιστημόνων του Harvard με τους απλούς πολίτες του </w:t>
      </w:r>
      <w:smartTag w:uri="urn:schemas-microsoft-com:office:smarttags" w:element="City">
        <w:smartTag w:uri="urn:schemas-microsoft-com:office:smarttags" w:element="place">
          <w:r>
            <w:rPr>
              <w:rFonts w:ascii="Tahoma" w:hAnsi="Tahoma" w:cs="Tahoma"/>
            </w:rPr>
            <w:t>Woburn</w:t>
          </w:r>
        </w:smartTag>
      </w:smartTag>
      <w:r>
        <w:rPr>
          <w:rFonts w:ascii="Tahoma" w:hAnsi="Tahoma" w:cs="Tahoma"/>
        </w:rPr>
        <w:t xml:space="preserve"> στην επιδημιολογική μελέτη για τις επιπτώσεις στην υγεία τους από την έκθεση των τελευταίων σε τοξικά απόβλητα).</w:t>
      </w:r>
    </w:p>
  </w:footnote>
  <w:footnote w:id="55">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R.R. Kuehn</w:t>
      </w:r>
      <w:r w:rsidRPr="009B2E31">
        <w:rPr>
          <w:rFonts w:ascii="Tahoma" w:hAnsi="Tahoma" w:cs="Tahoma"/>
          <w:lang w:val="en-US"/>
        </w:rPr>
        <w:t>, “The Environmental Justice Implications of Quantitative Risk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158. </w:t>
      </w:r>
      <w:r w:rsidRPr="00570FA9">
        <w:rPr>
          <w:rFonts w:ascii="Tahoma" w:hAnsi="Tahoma" w:cs="Tahoma"/>
          <w:i/>
          <w:lang w:val="en-US"/>
        </w:rPr>
        <w:t>J.S. Applegate</w:t>
      </w:r>
      <w:r w:rsidRPr="009B2E31">
        <w:rPr>
          <w:rFonts w:ascii="Tahoma" w:hAnsi="Tahoma" w:cs="Tahoma"/>
          <w:lang w:val="en-US"/>
        </w:rPr>
        <w:t>, “A Beginning and not an End in Itself: The Role of Risk Assessment in Environmental Decision Making”,</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1652.</w:t>
      </w:r>
    </w:p>
  </w:footnote>
  <w:footnote w:id="56">
    <w:p w:rsidR="00ED6DB8" w:rsidRPr="00BC00CA"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H.M. Marks</w:t>
      </w:r>
      <w:r w:rsidRPr="009B2E31">
        <w:rPr>
          <w:rFonts w:ascii="Tahoma" w:hAnsi="Tahoma" w:cs="Tahoma"/>
          <w:lang w:val="en-US"/>
        </w:rPr>
        <w:t>, “Contemplating Risk Assessment: A Critique of NRC (1983, 1996)”, Human and Ecological Risk Asse</w:t>
      </w:r>
      <w:r>
        <w:rPr>
          <w:rFonts w:ascii="Tahoma" w:hAnsi="Tahoma" w:cs="Tahoma"/>
          <w:lang w:val="en-US"/>
        </w:rPr>
        <w:t>ssment, Vol. 13(1), 2007,</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18-19.</w:t>
      </w:r>
      <w:r>
        <w:rPr>
          <w:rFonts w:ascii="Tahoma" w:hAnsi="Tahoma" w:cs="Tahoma"/>
          <w:lang w:val="en-GB"/>
        </w:rPr>
        <w:t xml:space="preserve"> K</w:t>
      </w:r>
      <w:r w:rsidRPr="00BC00CA">
        <w:rPr>
          <w:rFonts w:ascii="Tahoma" w:hAnsi="Tahoma" w:cs="Tahoma"/>
          <w:lang w:val="en-GB"/>
        </w:rPr>
        <w:t>.</w:t>
      </w:r>
      <w:r>
        <w:rPr>
          <w:rFonts w:ascii="Tahoma" w:hAnsi="Tahoma" w:cs="Tahoma"/>
          <w:lang w:val="en-US"/>
        </w:rPr>
        <w:t>H</w:t>
      </w:r>
      <w:r w:rsidRPr="00BC00CA">
        <w:rPr>
          <w:rFonts w:ascii="Tahoma" w:hAnsi="Tahoma" w:cs="Tahoma"/>
          <w:lang w:val="en-GB"/>
        </w:rPr>
        <w:t xml:space="preserve">. </w:t>
      </w:r>
      <w:r>
        <w:rPr>
          <w:rFonts w:ascii="Tahoma" w:hAnsi="Tahoma" w:cs="Tahoma"/>
          <w:lang w:val="en-US"/>
        </w:rPr>
        <w:t>Whiteside</w:t>
      </w:r>
      <w:r w:rsidRPr="00BC00CA">
        <w:rPr>
          <w:rFonts w:ascii="Tahoma" w:hAnsi="Tahoma" w:cs="Tahoma"/>
          <w:lang w:val="en-GB"/>
        </w:rPr>
        <w:t xml:space="preserve">, </w:t>
      </w:r>
      <w:r>
        <w:rPr>
          <w:rFonts w:ascii="Tahoma" w:hAnsi="Tahoma" w:cs="Tahoma"/>
          <w:lang w:val="en-US"/>
        </w:rPr>
        <w:t>Precautionary</w:t>
      </w:r>
      <w:r w:rsidRPr="00BC00CA">
        <w:rPr>
          <w:rFonts w:ascii="Tahoma" w:hAnsi="Tahoma" w:cs="Tahoma"/>
          <w:lang w:val="en-GB"/>
        </w:rPr>
        <w:t xml:space="preserve"> </w:t>
      </w:r>
      <w:r>
        <w:rPr>
          <w:rFonts w:ascii="Tahoma" w:hAnsi="Tahoma" w:cs="Tahoma"/>
          <w:lang w:val="en-US"/>
        </w:rPr>
        <w:t>Politics</w:t>
      </w:r>
      <w:r w:rsidRPr="00BC00CA">
        <w:rPr>
          <w:rFonts w:ascii="Tahoma" w:hAnsi="Tahoma" w:cs="Tahoma"/>
          <w:lang w:val="en-GB"/>
        </w:rPr>
        <w:t xml:space="preserve">: </w:t>
      </w:r>
      <w:r>
        <w:rPr>
          <w:rFonts w:ascii="Tahoma" w:hAnsi="Tahoma" w:cs="Tahoma"/>
          <w:lang w:val="en-US"/>
        </w:rPr>
        <w:t>Principle</w:t>
      </w:r>
      <w:r w:rsidRPr="00BC00CA">
        <w:rPr>
          <w:rFonts w:ascii="Tahoma" w:hAnsi="Tahoma" w:cs="Tahoma"/>
          <w:lang w:val="en-GB"/>
        </w:rPr>
        <w:t xml:space="preserve"> </w:t>
      </w:r>
      <w:r>
        <w:rPr>
          <w:rFonts w:ascii="Tahoma" w:hAnsi="Tahoma" w:cs="Tahoma"/>
          <w:lang w:val="en-US"/>
        </w:rPr>
        <w:t>and</w:t>
      </w:r>
      <w:r w:rsidRPr="00BC00CA">
        <w:rPr>
          <w:rFonts w:ascii="Tahoma" w:hAnsi="Tahoma" w:cs="Tahoma"/>
          <w:lang w:val="en-GB"/>
        </w:rPr>
        <w:t xml:space="preserve"> </w:t>
      </w:r>
      <w:r>
        <w:rPr>
          <w:rFonts w:ascii="Tahoma" w:hAnsi="Tahoma" w:cs="Tahoma"/>
          <w:lang w:val="en-US"/>
        </w:rPr>
        <w:t>Practice</w:t>
      </w:r>
      <w:r w:rsidRPr="00BC00CA">
        <w:rPr>
          <w:rFonts w:ascii="Tahoma" w:hAnsi="Tahoma" w:cs="Tahoma"/>
          <w:lang w:val="en-GB"/>
        </w:rPr>
        <w:t xml:space="preserve"> </w:t>
      </w:r>
      <w:r>
        <w:rPr>
          <w:rFonts w:ascii="Tahoma" w:hAnsi="Tahoma" w:cs="Tahoma"/>
          <w:lang w:val="en-US"/>
        </w:rPr>
        <w:t>in</w:t>
      </w:r>
      <w:r w:rsidRPr="00BC00CA">
        <w:rPr>
          <w:rFonts w:ascii="Tahoma" w:hAnsi="Tahoma" w:cs="Tahoma"/>
          <w:lang w:val="en-GB"/>
        </w:rPr>
        <w:t xml:space="preserve"> </w:t>
      </w:r>
      <w:r>
        <w:rPr>
          <w:rFonts w:ascii="Tahoma" w:hAnsi="Tahoma" w:cs="Tahoma"/>
          <w:lang w:val="en-US"/>
        </w:rPr>
        <w:t>Confronting</w:t>
      </w:r>
      <w:r w:rsidRPr="00BC00CA">
        <w:rPr>
          <w:rFonts w:ascii="Tahoma" w:hAnsi="Tahoma" w:cs="Tahoma"/>
          <w:lang w:val="en-GB"/>
        </w:rPr>
        <w:t xml:space="preserve"> </w:t>
      </w:r>
      <w:r>
        <w:rPr>
          <w:rFonts w:ascii="Tahoma" w:hAnsi="Tahoma" w:cs="Tahoma"/>
          <w:lang w:val="en-US"/>
        </w:rPr>
        <w:t>Environmental</w:t>
      </w:r>
      <w:r w:rsidRPr="00BC00CA">
        <w:rPr>
          <w:rFonts w:ascii="Tahoma" w:hAnsi="Tahoma" w:cs="Tahoma"/>
          <w:lang w:val="en-GB"/>
        </w:rPr>
        <w:t xml:space="preserve"> </w:t>
      </w:r>
      <w:r>
        <w:rPr>
          <w:rFonts w:ascii="Tahoma" w:hAnsi="Tahoma" w:cs="Tahoma"/>
          <w:lang w:val="en-US"/>
        </w:rPr>
        <w:t>Risk</w:t>
      </w:r>
      <w:r w:rsidRPr="00BC00CA">
        <w:rPr>
          <w:rFonts w:ascii="Tahoma" w:hAnsi="Tahoma" w:cs="Tahoma"/>
          <w:lang w:val="en-GB"/>
        </w:rPr>
        <w:t xml:space="preserve">, </w:t>
      </w:r>
      <w:smartTag w:uri="urn:schemas-microsoft-com:office:smarttags" w:element="place">
        <w:smartTag w:uri="urn:schemas-microsoft-com:office:smarttags" w:element="City">
          <w:r>
            <w:rPr>
              <w:rFonts w:ascii="Tahoma" w:hAnsi="Tahoma" w:cs="Tahoma"/>
              <w:lang w:val="en-US"/>
            </w:rPr>
            <w:t>Cambridge</w:t>
          </w:r>
        </w:smartTag>
        <w:r w:rsidRPr="00BC00CA">
          <w:rPr>
            <w:rFonts w:ascii="Tahoma" w:hAnsi="Tahoma" w:cs="Tahoma"/>
            <w:lang w:val="en-GB"/>
          </w:rPr>
          <w:t xml:space="preserve"> </w:t>
        </w:r>
        <w:smartTag w:uri="urn:schemas-microsoft-com:office:smarttags" w:element="State">
          <w:r>
            <w:rPr>
              <w:rFonts w:ascii="Tahoma" w:hAnsi="Tahoma" w:cs="Tahoma"/>
              <w:lang w:val="en-US"/>
            </w:rPr>
            <w:t>MA</w:t>
          </w:r>
        </w:smartTag>
      </w:smartTag>
      <w:r w:rsidRPr="00BC00CA">
        <w:rPr>
          <w:rFonts w:ascii="Tahoma" w:hAnsi="Tahoma" w:cs="Tahoma"/>
          <w:lang w:val="en-GB"/>
        </w:rPr>
        <w:t xml:space="preserve">, </w:t>
      </w:r>
      <w:r>
        <w:rPr>
          <w:rFonts w:ascii="Tahoma" w:hAnsi="Tahoma" w:cs="Tahoma"/>
          <w:lang w:val="en-US"/>
        </w:rPr>
        <w:t>The</w:t>
      </w:r>
      <w:r w:rsidRPr="00BC00CA">
        <w:rPr>
          <w:rFonts w:ascii="Tahoma" w:hAnsi="Tahoma" w:cs="Tahoma"/>
          <w:lang w:val="en-GB"/>
        </w:rPr>
        <w:t xml:space="preserve"> </w:t>
      </w:r>
      <w:r>
        <w:rPr>
          <w:rFonts w:ascii="Tahoma" w:hAnsi="Tahoma" w:cs="Tahoma"/>
          <w:lang w:val="en-US"/>
        </w:rPr>
        <w:t>MIT</w:t>
      </w:r>
      <w:r w:rsidRPr="00BC00CA">
        <w:rPr>
          <w:rFonts w:ascii="Tahoma" w:hAnsi="Tahoma" w:cs="Tahoma"/>
          <w:lang w:val="en-GB"/>
        </w:rPr>
        <w:t xml:space="preserve"> </w:t>
      </w:r>
      <w:r>
        <w:rPr>
          <w:rFonts w:ascii="Tahoma" w:hAnsi="Tahoma" w:cs="Tahoma"/>
          <w:lang w:val="en-US"/>
        </w:rPr>
        <w:t>Press</w:t>
      </w:r>
      <w:r w:rsidRPr="00BC00CA">
        <w:rPr>
          <w:rFonts w:ascii="Tahoma" w:hAnsi="Tahoma" w:cs="Tahoma"/>
          <w:lang w:val="en-GB"/>
        </w:rPr>
        <w:t xml:space="preserve">, 2006, </w:t>
      </w:r>
      <w:r w:rsidRPr="00BC00CA">
        <w:rPr>
          <w:rFonts w:ascii="Tahoma" w:hAnsi="Tahoma" w:cs="Tahoma"/>
        </w:rPr>
        <w:t>σ</w:t>
      </w:r>
      <w:r w:rsidRPr="00BC00CA">
        <w:rPr>
          <w:rFonts w:ascii="Tahoma" w:hAnsi="Tahoma" w:cs="Tahoma"/>
          <w:lang w:val="en-GB"/>
        </w:rPr>
        <w:t>. 118 (</w:t>
      </w:r>
      <w:r>
        <w:rPr>
          <w:rFonts w:ascii="Tahoma" w:hAnsi="Tahoma" w:cs="Tahoma"/>
        </w:rPr>
        <w:t>ο</w:t>
      </w:r>
      <w:r w:rsidRPr="00BC00CA">
        <w:rPr>
          <w:rFonts w:ascii="Tahoma" w:hAnsi="Tahoma" w:cs="Tahoma"/>
          <w:lang w:val="en-GB"/>
        </w:rPr>
        <w:t xml:space="preserve"> </w:t>
      </w:r>
      <w:r>
        <w:rPr>
          <w:rFonts w:ascii="Tahoma" w:hAnsi="Tahoma" w:cs="Tahoma"/>
        </w:rPr>
        <w:t>οποίος</w:t>
      </w:r>
      <w:r w:rsidRPr="00BC00CA">
        <w:rPr>
          <w:rFonts w:ascii="Tahoma" w:hAnsi="Tahoma" w:cs="Tahoma"/>
          <w:lang w:val="en-GB"/>
        </w:rPr>
        <w:t xml:space="preserve"> </w:t>
      </w:r>
      <w:r>
        <w:rPr>
          <w:rFonts w:ascii="Tahoma" w:hAnsi="Tahoma" w:cs="Tahoma"/>
        </w:rPr>
        <w:t>υποστηρίζει</w:t>
      </w:r>
      <w:r w:rsidRPr="00BC00CA">
        <w:rPr>
          <w:rFonts w:ascii="Tahoma" w:hAnsi="Tahoma" w:cs="Tahoma"/>
          <w:lang w:val="en-GB"/>
        </w:rPr>
        <w:t xml:space="preserve"> </w:t>
      </w:r>
      <w:r>
        <w:rPr>
          <w:rFonts w:ascii="Tahoma" w:hAnsi="Tahoma" w:cs="Tahoma"/>
        </w:rPr>
        <w:t>ότι</w:t>
      </w:r>
      <w:r w:rsidRPr="00BC00CA">
        <w:rPr>
          <w:rFonts w:ascii="Tahoma" w:hAnsi="Tahoma" w:cs="Tahoma"/>
          <w:lang w:val="en-GB"/>
        </w:rPr>
        <w:t xml:space="preserve"> </w:t>
      </w:r>
      <w:r>
        <w:rPr>
          <w:rFonts w:ascii="Tahoma" w:hAnsi="Tahoma" w:cs="Tahoma"/>
        </w:rPr>
        <w:t>αποτελεί</w:t>
      </w:r>
      <w:r w:rsidRPr="00BC00CA">
        <w:rPr>
          <w:rFonts w:ascii="Tahoma" w:hAnsi="Tahoma" w:cs="Tahoma"/>
          <w:lang w:val="en-GB"/>
        </w:rPr>
        <w:t xml:space="preserve"> </w:t>
      </w:r>
      <w:r>
        <w:rPr>
          <w:rFonts w:ascii="Tahoma" w:hAnsi="Tahoma" w:cs="Tahoma"/>
        </w:rPr>
        <w:t>βασική</w:t>
      </w:r>
      <w:r w:rsidRPr="00BC00CA">
        <w:rPr>
          <w:rFonts w:ascii="Tahoma" w:hAnsi="Tahoma" w:cs="Tahoma"/>
          <w:lang w:val="en-GB"/>
        </w:rPr>
        <w:t xml:space="preserve"> </w:t>
      </w:r>
      <w:r>
        <w:rPr>
          <w:rFonts w:ascii="Tahoma" w:hAnsi="Tahoma" w:cs="Tahoma"/>
        </w:rPr>
        <w:t>δημοκρατική</w:t>
      </w:r>
      <w:r w:rsidRPr="00BC00CA">
        <w:rPr>
          <w:rFonts w:ascii="Tahoma" w:hAnsi="Tahoma" w:cs="Tahoma"/>
          <w:lang w:val="en-GB"/>
        </w:rPr>
        <w:t xml:space="preserve"> </w:t>
      </w:r>
      <w:r>
        <w:rPr>
          <w:rFonts w:ascii="Tahoma" w:hAnsi="Tahoma" w:cs="Tahoma"/>
        </w:rPr>
        <w:t>αξία</w:t>
      </w:r>
      <w:r w:rsidRPr="00BC00CA">
        <w:rPr>
          <w:rFonts w:ascii="Tahoma" w:hAnsi="Tahoma" w:cs="Tahoma"/>
          <w:lang w:val="en-GB"/>
        </w:rPr>
        <w:t xml:space="preserve"> </w:t>
      </w:r>
      <w:r>
        <w:rPr>
          <w:rFonts w:ascii="Tahoma" w:hAnsi="Tahoma" w:cs="Tahoma"/>
        </w:rPr>
        <w:t>να</w:t>
      </w:r>
      <w:r w:rsidRPr="00BC00CA">
        <w:rPr>
          <w:rFonts w:ascii="Tahoma" w:hAnsi="Tahoma" w:cs="Tahoma"/>
          <w:lang w:val="en-GB"/>
        </w:rPr>
        <w:t xml:space="preserve"> </w:t>
      </w:r>
      <w:r>
        <w:rPr>
          <w:rFonts w:ascii="Tahoma" w:hAnsi="Tahoma" w:cs="Tahoma"/>
        </w:rPr>
        <w:t>συμμετέχουν</w:t>
      </w:r>
      <w:r w:rsidRPr="00BC00CA">
        <w:rPr>
          <w:rFonts w:ascii="Tahoma" w:hAnsi="Tahoma" w:cs="Tahoma"/>
          <w:lang w:val="en-GB"/>
        </w:rPr>
        <w:t xml:space="preserve"> </w:t>
      </w:r>
      <w:r>
        <w:rPr>
          <w:rFonts w:ascii="Tahoma" w:hAnsi="Tahoma" w:cs="Tahoma"/>
        </w:rPr>
        <w:t>στη</w:t>
      </w:r>
      <w:r w:rsidRPr="00BC00CA">
        <w:rPr>
          <w:rFonts w:ascii="Tahoma" w:hAnsi="Tahoma" w:cs="Tahoma"/>
          <w:lang w:val="en-GB"/>
        </w:rPr>
        <w:t xml:space="preserve"> </w:t>
      </w:r>
      <w:r>
        <w:rPr>
          <w:rFonts w:ascii="Tahoma" w:hAnsi="Tahoma" w:cs="Tahoma"/>
        </w:rPr>
        <w:t>διαδικασία</w:t>
      </w:r>
      <w:r w:rsidRPr="00BC00CA">
        <w:rPr>
          <w:rFonts w:ascii="Tahoma" w:hAnsi="Tahoma" w:cs="Tahoma"/>
          <w:lang w:val="en-GB"/>
        </w:rPr>
        <w:t xml:space="preserve"> </w:t>
      </w:r>
      <w:r>
        <w:rPr>
          <w:rFonts w:ascii="Tahoma" w:hAnsi="Tahoma" w:cs="Tahoma"/>
        </w:rPr>
        <w:t>λήψης</w:t>
      </w:r>
      <w:r w:rsidRPr="00BC00CA">
        <w:rPr>
          <w:rFonts w:ascii="Tahoma" w:hAnsi="Tahoma" w:cs="Tahoma"/>
          <w:lang w:val="en-GB"/>
        </w:rPr>
        <w:t xml:space="preserve"> </w:t>
      </w:r>
      <w:r>
        <w:rPr>
          <w:rFonts w:ascii="Tahoma" w:hAnsi="Tahoma" w:cs="Tahoma"/>
        </w:rPr>
        <w:t>απόφασης</w:t>
      </w:r>
      <w:r w:rsidRPr="00BC00CA">
        <w:rPr>
          <w:rFonts w:ascii="Tahoma" w:hAnsi="Tahoma" w:cs="Tahoma"/>
          <w:lang w:val="en-GB"/>
        </w:rPr>
        <w:t xml:space="preserve"> </w:t>
      </w:r>
      <w:r>
        <w:rPr>
          <w:rFonts w:ascii="Tahoma" w:hAnsi="Tahoma" w:cs="Tahoma"/>
        </w:rPr>
        <w:t>όλοι</w:t>
      </w:r>
      <w:r w:rsidRPr="00BC00CA">
        <w:rPr>
          <w:rFonts w:ascii="Tahoma" w:hAnsi="Tahoma" w:cs="Tahoma"/>
          <w:lang w:val="en-GB"/>
        </w:rPr>
        <w:t xml:space="preserve"> </w:t>
      </w:r>
      <w:r>
        <w:rPr>
          <w:rFonts w:ascii="Tahoma" w:hAnsi="Tahoma" w:cs="Tahoma"/>
        </w:rPr>
        <w:t>όσοι</w:t>
      </w:r>
      <w:r w:rsidRPr="00BC00CA">
        <w:rPr>
          <w:rFonts w:ascii="Tahoma" w:hAnsi="Tahoma" w:cs="Tahoma"/>
          <w:lang w:val="en-GB"/>
        </w:rPr>
        <w:t xml:space="preserve"> </w:t>
      </w:r>
      <w:r>
        <w:rPr>
          <w:rFonts w:ascii="Tahoma" w:hAnsi="Tahoma" w:cs="Tahoma"/>
        </w:rPr>
        <w:t>επηρεάζονται</w:t>
      </w:r>
      <w:r w:rsidRPr="00BC00CA">
        <w:rPr>
          <w:rFonts w:ascii="Tahoma" w:hAnsi="Tahoma" w:cs="Tahoma"/>
          <w:lang w:val="en-GB"/>
        </w:rPr>
        <w:t xml:space="preserve"> </w:t>
      </w:r>
      <w:r>
        <w:rPr>
          <w:rFonts w:ascii="Tahoma" w:hAnsi="Tahoma" w:cs="Tahoma"/>
        </w:rPr>
        <w:t>από</w:t>
      </w:r>
      <w:r w:rsidRPr="00BC00CA">
        <w:rPr>
          <w:rFonts w:ascii="Tahoma" w:hAnsi="Tahoma" w:cs="Tahoma"/>
          <w:lang w:val="en-GB"/>
        </w:rPr>
        <w:t xml:space="preserve"> </w:t>
      </w:r>
      <w:r>
        <w:rPr>
          <w:rFonts w:ascii="Tahoma" w:hAnsi="Tahoma" w:cs="Tahoma"/>
        </w:rPr>
        <w:t>την</w:t>
      </w:r>
      <w:r w:rsidRPr="00BC00CA">
        <w:rPr>
          <w:rFonts w:ascii="Tahoma" w:hAnsi="Tahoma" w:cs="Tahoma"/>
          <w:lang w:val="en-GB"/>
        </w:rPr>
        <w:t xml:space="preserve"> </w:t>
      </w:r>
      <w:r>
        <w:rPr>
          <w:rFonts w:ascii="Tahoma" w:hAnsi="Tahoma" w:cs="Tahoma"/>
        </w:rPr>
        <w:t>απόφαση</w:t>
      </w:r>
      <w:r w:rsidRPr="00BC00CA">
        <w:rPr>
          <w:rFonts w:ascii="Tahoma" w:hAnsi="Tahoma" w:cs="Tahoma"/>
          <w:lang w:val="en-GB"/>
        </w:rPr>
        <w:t xml:space="preserve">). </w:t>
      </w:r>
      <w:r w:rsidRPr="009B2E31">
        <w:rPr>
          <w:rFonts w:ascii="Tahoma" w:hAnsi="Tahoma" w:cs="Tahoma"/>
        </w:rPr>
        <w:t>Αναλυτικότερα</w:t>
      </w:r>
      <w:r w:rsidRPr="00BC00CA">
        <w:rPr>
          <w:rFonts w:ascii="Tahoma" w:hAnsi="Tahoma" w:cs="Tahoma"/>
        </w:rPr>
        <w:t xml:space="preserve"> </w:t>
      </w:r>
      <w:r w:rsidRPr="009B2E31">
        <w:rPr>
          <w:rFonts w:ascii="Tahoma" w:hAnsi="Tahoma" w:cs="Tahoma"/>
        </w:rPr>
        <w:t>για</w:t>
      </w:r>
      <w:r w:rsidRPr="00BC00CA">
        <w:rPr>
          <w:rFonts w:ascii="Tahoma" w:hAnsi="Tahoma" w:cs="Tahoma"/>
        </w:rPr>
        <w:t xml:space="preserve"> </w:t>
      </w:r>
      <w:r w:rsidRPr="009B2E31">
        <w:rPr>
          <w:rFonts w:ascii="Tahoma" w:hAnsi="Tahoma" w:cs="Tahoma"/>
        </w:rPr>
        <w:t>το</w:t>
      </w:r>
      <w:r w:rsidRPr="00BC00CA">
        <w:rPr>
          <w:rFonts w:ascii="Tahoma" w:hAnsi="Tahoma" w:cs="Tahoma"/>
        </w:rPr>
        <w:t xml:space="preserve"> </w:t>
      </w:r>
      <w:r w:rsidRPr="009B2E31">
        <w:rPr>
          <w:rFonts w:ascii="Tahoma" w:hAnsi="Tahoma" w:cs="Tahoma"/>
        </w:rPr>
        <w:t>θέμα</w:t>
      </w:r>
      <w:r w:rsidRPr="00BC00CA">
        <w:rPr>
          <w:rFonts w:ascii="Tahoma" w:hAnsi="Tahoma" w:cs="Tahoma"/>
        </w:rPr>
        <w:t xml:space="preserve"> </w:t>
      </w:r>
      <w:r w:rsidRPr="009B2E31">
        <w:rPr>
          <w:rFonts w:ascii="Tahoma" w:hAnsi="Tahoma" w:cs="Tahoma"/>
        </w:rPr>
        <w:t>αυτό</w:t>
      </w:r>
      <w:r w:rsidRPr="00BC00CA">
        <w:rPr>
          <w:rFonts w:ascii="Tahoma" w:hAnsi="Tahoma" w:cs="Tahoma"/>
        </w:rPr>
        <w:t xml:space="preserve">, </w:t>
      </w:r>
      <w:r w:rsidRPr="009B2E31">
        <w:rPr>
          <w:rFonts w:ascii="Tahoma" w:hAnsi="Tahoma" w:cs="Tahoma"/>
        </w:rPr>
        <w:t>βλ</w:t>
      </w:r>
      <w:r w:rsidRPr="00BC00CA">
        <w:rPr>
          <w:rFonts w:ascii="Tahoma" w:hAnsi="Tahoma" w:cs="Tahoma"/>
        </w:rPr>
        <w:t xml:space="preserve">. </w:t>
      </w:r>
      <w:r w:rsidRPr="00BC00CA">
        <w:rPr>
          <w:rFonts w:ascii="Tahoma" w:hAnsi="Tahoma" w:cs="Tahoma"/>
          <w:lang w:val="en-GB"/>
        </w:rPr>
        <w:t>supra</w:t>
      </w:r>
      <w:r w:rsidRPr="00BC00CA">
        <w:rPr>
          <w:rFonts w:ascii="Tahoma" w:hAnsi="Tahoma" w:cs="Tahoma"/>
        </w:rPr>
        <w:t xml:space="preserve">, </w:t>
      </w:r>
      <w:r w:rsidRPr="009B2E31">
        <w:rPr>
          <w:rFonts w:ascii="Tahoma" w:hAnsi="Tahoma" w:cs="Tahoma"/>
        </w:rPr>
        <w:t>Πρώτο</w:t>
      </w:r>
      <w:r w:rsidRPr="00BC00CA">
        <w:rPr>
          <w:rFonts w:ascii="Tahoma" w:hAnsi="Tahoma" w:cs="Tahoma"/>
        </w:rPr>
        <w:t xml:space="preserve"> </w:t>
      </w:r>
      <w:r w:rsidRPr="009B2E31">
        <w:rPr>
          <w:rFonts w:ascii="Tahoma" w:hAnsi="Tahoma" w:cs="Tahoma"/>
        </w:rPr>
        <w:t>Κεφάλαιο</w:t>
      </w:r>
      <w:r w:rsidRPr="00BC00CA">
        <w:rPr>
          <w:rFonts w:ascii="Tahoma" w:hAnsi="Tahoma" w:cs="Tahoma"/>
        </w:rPr>
        <w:t xml:space="preserve"> </w:t>
      </w:r>
      <w:r w:rsidRPr="009B2E31">
        <w:rPr>
          <w:rFonts w:ascii="Tahoma" w:hAnsi="Tahoma" w:cs="Tahoma"/>
        </w:rPr>
        <w:t>του</w:t>
      </w:r>
      <w:r w:rsidRPr="00BC00CA">
        <w:rPr>
          <w:rFonts w:ascii="Tahoma" w:hAnsi="Tahoma" w:cs="Tahoma"/>
        </w:rPr>
        <w:t xml:space="preserve"> </w:t>
      </w:r>
      <w:r w:rsidRPr="009B2E31">
        <w:rPr>
          <w:rFonts w:ascii="Tahoma" w:hAnsi="Tahoma" w:cs="Tahoma"/>
        </w:rPr>
        <w:t>Δεύτερου</w:t>
      </w:r>
      <w:r w:rsidRPr="00BC00CA">
        <w:rPr>
          <w:rFonts w:ascii="Tahoma" w:hAnsi="Tahoma" w:cs="Tahoma"/>
        </w:rPr>
        <w:t xml:space="preserve"> </w:t>
      </w:r>
      <w:r w:rsidRPr="009B2E31">
        <w:rPr>
          <w:rFonts w:ascii="Tahoma" w:hAnsi="Tahoma" w:cs="Tahoma"/>
        </w:rPr>
        <w:t>Μέρους</w:t>
      </w:r>
      <w:r w:rsidRPr="00BC00CA">
        <w:rPr>
          <w:rFonts w:ascii="Tahoma" w:hAnsi="Tahoma" w:cs="Tahoma"/>
        </w:rPr>
        <w:t>.</w:t>
      </w:r>
    </w:p>
  </w:footnote>
  <w:footnote w:id="57">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National Research Council</w:t>
      </w:r>
      <w:r w:rsidRPr="009B2E31">
        <w:rPr>
          <w:rFonts w:ascii="Tahoma" w:hAnsi="Tahoma" w:cs="Tahoma"/>
          <w:lang w:val="en-US"/>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86.</w:t>
      </w:r>
    </w:p>
  </w:footnote>
  <w:footnote w:id="58">
    <w:p w:rsidR="00ED6DB8" w:rsidRPr="00C846F7"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C. Campbell-Mohn, J.S. Applegate</w:t>
      </w:r>
      <w:r w:rsidRPr="009B2E31">
        <w:rPr>
          <w:rFonts w:ascii="Tahoma" w:hAnsi="Tahoma" w:cs="Tahoma"/>
          <w:lang w:val="en-US"/>
        </w:rPr>
        <w:t>, “Learning from NEPA: Guidelines for Responsible Risk Regulation”, Harvard Environmental La</w:t>
      </w:r>
      <w:r>
        <w:rPr>
          <w:rFonts w:ascii="Tahoma" w:hAnsi="Tahoma" w:cs="Tahoma"/>
          <w:lang w:val="en-US"/>
        </w:rPr>
        <w:t>w Review, Vol. 23, 1999,</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127-129.</w:t>
      </w:r>
      <w:r w:rsidRPr="00C846F7">
        <w:rPr>
          <w:rFonts w:ascii="Tahoma" w:hAnsi="Tahoma" w:cs="Tahoma"/>
          <w:lang w:val="en-GB"/>
        </w:rPr>
        <w:t xml:space="preserve"> </w:t>
      </w:r>
      <w:r>
        <w:rPr>
          <w:rFonts w:ascii="Tahoma" w:hAnsi="Tahoma" w:cs="Tahoma"/>
        </w:rPr>
        <w:t>Βλ</w:t>
      </w:r>
      <w:r w:rsidRPr="00C846F7">
        <w:rPr>
          <w:rFonts w:ascii="Tahoma" w:hAnsi="Tahoma" w:cs="Tahoma"/>
          <w:lang w:val="en-GB"/>
        </w:rPr>
        <w:t xml:space="preserve">., </w:t>
      </w:r>
      <w:r>
        <w:rPr>
          <w:rFonts w:ascii="Tahoma" w:hAnsi="Tahoma" w:cs="Tahoma"/>
        </w:rPr>
        <w:t>επίσης</w:t>
      </w:r>
      <w:r w:rsidRPr="00C846F7">
        <w:rPr>
          <w:rFonts w:ascii="Tahoma" w:hAnsi="Tahoma" w:cs="Tahoma"/>
          <w:lang w:val="en-GB"/>
        </w:rPr>
        <w:t xml:space="preserve">, </w:t>
      </w:r>
      <w:r w:rsidRPr="006028AF">
        <w:rPr>
          <w:rFonts w:ascii="Tahoma" w:hAnsi="Tahoma" w:cs="Tahoma"/>
          <w:i/>
          <w:lang w:val="en-US"/>
        </w:rPr>
        <w:t>M.-F. Cuellar</w:t>
      </w:r>
      <w:r>
        <w:rPr>
          <w:rFonts w:ascii="Tahoma" w:hAnsi="Tahoma" w:cs="Tahoma"/>
          <w:lang w:val="en-US"/>
        </w:rPr>
        <w:t xml:space="preserve">, “Rethinking Regulatory Democracy”, Administrative Law Review, Vol. 57(2), 2005, </w:t>
      </w:r>
      <w:r>
        <w:rPr>
          <w:rFonts w:ascii="Tahoma" w:hAnsi="Tahoma" w:cs="Tahoma"/>
        </w:rPr>
        <w:t>σ</w:t>
      </w:r>
      <w:r w:rsidRPr="00C846F7">
        <w:rPr>
          <w:rFonts w:ascii="Tahoma" w:hAnsi="Tahoma" w:cs="Tahoma"/>
          <w:lang w:val="en-GB"/>
        </w:rPr>
        <w:t xml:space="preserve">. 411 </w:t>
      </w:r>
      <w:r>
        <w:rPr>
          <w:rFonts w:ascii="Tahoma" w:hAnsi="Tahoma" w:cs="Tahoma"/>
        </w:rPr>
        <w:t>επ</w:t>
      </w:r>
      <w:r w:rsidRPr="00C846F7">
        <w:rPr>
          <w:rFonts w:ascii="Tahoma" w:hAnsi="Tahoma" w:cs="Tahoma"/>
          <w:lang w:val="en-GB"/>
        </w:rPr>
        <w:t xml:space="preserve">. </w:t>
      </w:r>
      <w:r>
        <w:rPr>
          <w:rFonts w:ascii="Tahoma" w:hAnsi="Tahoma" w:cs="Tahoma"/>
        </w:rPr>
        <w:t xml:space="preserve">(ο οποίος υποστηρίζει ότι η συμμετοχή και η διαβούλευση αποτελούν γενικότερα όρο της αναγκαίας μεταρρύθμισης του ‘‘κανονιστικού’’ κράτους, ώστε να εκφράσει όσο το δυνατόν πιο ολοκληρωμένα τις αξίες, τις ιδέες ή τις οικονομικές θέσεις που επικρατούν στην κοινωνία). </w:t>
      </w:r>
    </w:p>
  </w:footnote>
  <w:footnote w:id="59">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Στην Ε.Ε. διεξάγεται διαβούλευση με τα ενδιαφερόμενα μέρη, πλην όμως ατύπως, και κυρίως κατά το στάδιο της διαμόρφωσης των γενικότερων ρυθμίσεων. Βλ., π.χ., Πρόταση Κανονισμού του Ευρωπαϊκού Κοινοβουλίου και του Συμβουλίου σχετικά με τη διάθεση στην αγορά φυτοπροστατευτικών προϊόντων, </w:t>
      </w:r>
      <w:r w:rsidRPr="009B2E31">
        <w:rPr>
          <w:rFonts w:ascii="Tahoma" w:hAnsi="Tahoma" w:cs="Tahoma"/>
          <w:lang w:val="en-US"/>
        </w:rPr>
        <w:t>COM</w:t>
      </w:r>
      <w:r w:rsidRPr="009B2E31">
        <w:rPr>
          <w:rFonts w:ascii="Tahoma" w:hAnsi="Tahoma" w:cs="Tahoma"/>
        </w:rPr>
        <w:t xml:space="preserve"> (2006) τελικό, σ. 5-6.</w:t>
      </w:r>
    </w:p>
  </w:footnote>
  <w:footnote w:id="60">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National Research Council</w:t>
      </w:r>
      <w:r w:rsidRPr="009B2E31">
        <w:rPr>
          <w:rFonts w:ascii="Tahoma" w:hAnsi="Tahoma" w:cs="Tahoma"/>
          <w:lang w:val="en-US"/>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73-96.</w:t>
      </w:r>
    </w:p>
  </w:footnote>
  <w:footnote w:id="61">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Πολλοί επιστήμονες υποστηρίζουν ότι είναι πολύ δύσκολο έως αδύνατο να μειωθούν οι αβεβαιότητες διότι, η βλάβη που προκαλείται από πολλές χημικές ουσίες σε χαμηλά επίπεδα έκθεσης δεν μπορεί να εντοπιστεί καθώς είναι κάτω από τα όρια ανίχνευσης τόσο των υπαρχουσών τοξικολογικών μεθόδων στα ζώα όσο και των επιδημιολογικών μελετών στους ανθρώπους.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4C767D">
        <w:rPr>
          <w:rFonts w:ascii="Tahoma" w:hAnsi="Tahoma" w:cs="Tahoma"/>
          <w:i/>
          <w:lang w:val="en-GB"/>
        </w:rPr>
        <w:t>K.R. Smith et al</w:t>
      </w:r>
      <w:r w:rsidRPr="009B2E31">
        <w:rPr>
          <w:rFonts w:ascii="Tahoma" w:hAnsi="Tahoma" w:cs="Tahoma"/>
          <w:lang w:val="en-GB"/>
        </w:rPr>
        <w:t>., “How Much Global Ill Health Is Attributable</w:t>
      </w:r>
      <w:r w:rsidRPr="009B2E31">
        <w:rPr>
          <w:rFonts w:ascii="Tahoma" w:hAnsi="Tahoma" w:cs="Tahoma"/>
          <w:lang w:val="en-US"/>
        </w:rPr>
        <w:t xml:space="preserve"> to Environmental Factors?”, Epid</w:t>
      </w:r>
      <w:r>
        <w:rPr>
          <w:rFonts w:ascii="Tahoma" w:hAnsi="Tahoma" w:cs="Tahoma"/>
          <w:lang w:val="en-US"/>
        </w:rPr>
        <w:t>emiology, Vol. 10, 1999,</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573.</w:t>
      </w:r>
      <w:r w:rsidRPr="009B2E31">
        <w:rPr>
          <w:rFonts w:ascii="Tahoma" w:hAnsi="Tahoma" w:cs="Tahoma"/>
          <w:lang w:val="en-US"/>
        </w:rPr>
        <w:t xml:space="preserve"> </w:t>
      </w:r>
    </w:p>
  </w:footnote>
  <w:footnote w:id="62">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w:t>
      </w:r>
      <w:r w:rsidRPr="009B2E31">
        <w:rPr>
          <w:rFonts w:ascii="Tahoma" w:hAnsi="Tahoma" w:cs="Tahoma"/>
          <w:lang w:val="en-GB"/>
        </w:rPr>
        <w:t xml:space="preserve"> </w:t>
      </w:r>
      <w:r w:rsidRPr="009B2E31">
        <w:rPr>
          <w:rFonts w:ascii="Tahoma" w:hAnsi="Tahoma" w:cs="Tahoma"/>
        </w:rPr>
        <w:t>πολλών</w:t>
      </w:r>
      <w:r w:rsidRPr="009B2E31">
        <w:rPr>
          <w:rFonts w:ascii="Tahoma" w:hAnsi="Tahoma" w:cs="Tahoma"/>
          <w:lang w:val="en-GB"/>
        </w:rPr>
        <w:t xml:space="preserve">, </w:t>
      </w:r>
      <w:r w:rsidRPr="004C767D">
        <w:rPr>
          <w:rFonts w:ascii="Tahoma" w:hAnsi="Tahoma" w:cs="Tahoma"/>
          <w:i/>
          <w:lang w:val="en-GB"/>
        </w:rPr>
        <w:t>D.E. Adelman</w:t>
      </w:r>
      <w:r w:rsidRPr="009B2E31">
        <w:rPr>
          <w:rFonts w:ascii="Tahoma" w:hAnsi="Tahoma" w:cs="Tahoma"/>
          <w:lang w:val="en-GB"/>
        </w:rPr>
        <w:t xml:space="preserve">, “The False Promise of the Genomics Revolution for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w:t>
      </w:r>
    </w:p>
  </w:footnote>
  <w:footnote w:id="63">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w:t>
      </w:r>
      <w:r w:rsidRPr="009B2E31">
        <w:rPr>
          <w:rFonts w:ascii="Tahoma" w:hAnsi="Tahoma" w:cs="Tahoma"/>
          <w:lang w:val="en-GB"/>
        </w:rPr>
        <w:t xml:space="preserve"> </w:t>
      </w:r>
      <w:r w:rsidRPr="009B2E31">
        <w:rPr>
          <w:rFonts w:ascii="Tahoma" w:hAnsi="Tahoma" w:cs="Tahoma"/>
        </w:rPr>
        <w:t>άλλων</w:t>
      </w:r>
      <w:r w:rsidRPr="009B2E31">
        <w:rPr>
          <w:rFonts w:ascii="Tahoma" w:hAnsi="Tahoma" w:cs="Tahoma"/>
          <w:lang w:val="en-GB"/>
        </w:rPr>
        <w:t xml:space="preserve">, </w:t>
      </w:r>
      <w:r w:rsidRPr="00B9290A">
        <w:rPr>
          <w:rFonts w:ascii="Tahoma" w:hAnsi="Tahoma" w:cs="Tahoma"/>
          <w:i/>
          <w:lang w:val="en-GB"/>
        </w:rPr>
        <w:t>J.D. Graham</w:t>
      </w:r>
      <w:r w:rsidRPr="009B2E31">
        <w:rPr>
          <w:rFonts w:ascii="Tahoma" w:hAnsi="Tahoma" w:cs="Tahoma"/>
          <w:lang w:val="en-GB"/>
        </w:rPr>
        <w:t>, “Legislative Approaches to Achieving More Protection Against</w:t>
      </w:r>
      <w:r w:rsidRPr="009B2E31">
        <w:rPr>
          <w:rFonts w:ascii="Tahoma" w:hAnsi="Tahoma" w:cs="Tahoma"/>
          <w:lang w:val="en-US"/>
        </w:rPr>
        <w:t xml:space="preserve"> Risk at Less Costs”, University of Ch</w:t>
      </w:r>
      <w:r>
        <w:rPr>
          <w:rFonts w:ascii="Tahoma" w:hAnsi="Tahoma" w:cs="Tahoma"/>
          <w:lang w:val="en-US"/>
        </w:rPr>
        <w:t>icago Legal Forum, 1997,</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13-14.</w:t>
      </w:r>
    </w:p>
  </w:footnote>
  <w:footnote w:id="64">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B9290A">
        <w:rPr>
          <w:rFonts w:ascii="Tahoma" w:hAnsi="Tahoma" w:cs="Tahoma"/>
          <w:i/>
          <w:lang w:val="en-US"/>
        </w:rPr>
        <w:t>R</w:t>
      </w:r>
      <w:r w:rsidRPr="006654AD">
        <w:rPr>
          <w:rFonts w:ascii="Tahoma" w:hAnsi="Tahoma" w:cs="Tahoma"/>
          <w:i/>
        </w:rPr>
        <w:t>.</w:t>
      </w:r>
      <w:r w:rsidRPr="00B9290A">
        <w:rPr>
          <w:rFonts w:ascii="Tahoma" w:hAnsi="Tahoma" w:cs="Tahoma"/>
          <w:i/>
          <w:lang w:val="en-US"/>
        </w:rPr>
        <w:t>R</w:t>
      </w:r>
      <w:r w:rsidRPr="006654AD">
        <w:rPr>
          <w:rFonts w:ascii="Tahoma" w:hAnsi="Tahoma" w:cs="Tahoma"/>
          <w:i/>
        </w:rPr>
        <w:t xml:space="preserve">. </w:t>
      </w:r>
      <w:r w:rsidRPr="00B9290A">
        <w:rPr>
          <w:rFonts w:ascii="Tahoma" w:hAnsi="Tahoma" w:cs="Tahoma"/>
          <w:i/>
          <w:lang w:val="en-US"/>
        </w:rPr>
        <w:t>Kuehn</w:t>
      </w:r>
      <w:r w:rsidRPr="006654AD">
        <w:rPr>
          <w:rFonts w:ascii="Tahoma" w:hAnsi="Tahoma" w:cs="Tahoma"/>
        </w:rPr>
        <w:t>, “</w:t>
      </w:r>
      <w:r w:rsidRPr="009B2E31">
        <w:rPr>
          <w:rFonts w:ascii="Tahoma" w:hAnsi="Tahoma" w:cs="Tahoma"/>
          <w:lang w:val="en-US"/>
        </w:rPr>
        <w:t>The</w:t>
      </w:r>
      <w:r w:rsidRPr="006654AD">
        <w:rPr>
          <w:rFonts w:ascii="Tahoma" w:hAnsi="Tahoma" w:cs="Tahoma"/>
        </w:rPr>
        <w:t xml:space="preserve"> </w:t>
      </w:r>
      <w:r w:rsidRPr="009B2E31">
        <w:rPr>
          <w:rFonts w:ascii="Tahoma" w:hAnsi="Tahoma" w:cs="Tahoma"/>
          <w:lang w:val="en-US"/>
        </w:rPr>
        <w:t>Environmental</w:t>
      </w:r>
      <w:r w:rsidRPr="006654AD">
        <w:rPr>
          <w:rFonts w:ascii="Tahoma" w:hAnsi="Tahoma" w:cs="Tahoma"/>
        </w:rPr>
        <w:t xml:space="preserve"> </w:t>
      </w:r>
      <w:r w:rsidRPr="009B2E31">
        <w:rPr>
          <w:rFonts w:ascii="Tahoma" w:hAnsi="Tahoma" w:cs="Tahoma"/>
          <w:lang w:val="en-US"/>
        </w:rPr>
        <w:t>Justice</w:t>
      </w:r>
      <w:r w:rsidRPr="006654AD">
        <w:rPr>
          <w:rFonts w:ascii="Tahoma" w:hAnsi="Tahoma" w:cs="Tahoma"/>
        </w:rPr>
        <w:t xml:space="preserve"> </w:t>
      </w:r>
      <w:r w:rsidRPr="009B2E31">
        <w:rPr>
          <w:rFonts w:ascii="Tahoma" w:hAnsi="Tahoma" w:cs="Tahoma"/>
          <w:lang w:val="en-US"/>
        </w:rPr>
        <w:t>Implications</w:t>
      </w:r>
      <w:r w:rsidRPr="006654AD">
        <w:rPr>
          <w:rFonts w:ascii="Tahoma" w:hAnsi="Tahoma" w:cs="Tahoma"/>
        </w:rPr>
        <w:t xml:space="preserve"> </w:t>
      </w:r>
      <w:r w:rsidRPr="009B2E31">
        <w:rPr>
          <w:rFonts w:ascii="Tahoma" w:hAnsi="Tahoma" w:cs="Tahoma"/>
          <w:lang w:val="en-US"/>
        </w:rPr>
        <w:t>of</w:t>
      </w:r>
      <w:r w:rsidRPr="006654AD">
        <w:rPr>
          <w:rFonts w:ascii="Tahoma" w:hAnsi="Tahoma" w:cs="Tahoma"/>
        </w:rPr>
        <w:t xml:space="preserve"> </w:t>
      </w:r>
      <w:r w:rsidRPr="009B2E31">
        <w:rPr>
          <w:rFonts w:ascii="Tahoma" w:hAnsi="Tahoma" w:cs="Tahoma"/>
          <w:lang w:val="en-US"/>
        </w:rPr>
        <w:t>Quantitative</w:t>
      </w:r>
      <w:r w:rsidRPr="006654AD">
        <w:rPr>
          <w:rFonts w:ascii="Tahoma" w:hAnsi="Tahoma" w:cs="Tahoma"/>
        </w:rPr>
        <w:t xml:space="preserve"> </w:t>
      </w:r>
      <w:r w:rsidRPr="009B2E31">
        <w:rPr>
          <w:rFonts w:ascii="Tahoma" w:hAnsi="Tahoma" w:cs="Tahoma"/>
          <w:lang w:val="en-US"/>
        </w:rPr>
        <w:t>Risk</w:t>
      </w:r>
      <w:r w:rsidRPr="006654AD">
        <w:rPr>
          <w:rFonts w:ascii="Tahoma" w:hAnsi="Tahoma" w:cs="Tahoma"/>
        </w:rPr>
        <w:t xml:space="preserve"> </w:t>
      </w:r>
      <w:r w:rsidRPr="009B2E31">
        <w:rPr>
          <w:rFonts w:ascii="Tahoma" w:hAnsi="Tahoma" w:cs="Tahoma"/>
          <w:lang w:val="en-US"/>
        </w:rPr>
        <w:t>Assessment</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w:t>
      </w:r>
      <w:r w:rsidRPr="009B2E31">
        <w:rPr>
          <w:rFonts w:ascii="Tahoma" w:hAnsi="Tahoma" w:cs="Tahoma"/>
        </w:rPr>
        <w:t>σ</w:t>
      </w:r>
      <w:r w:rsidRPr="006654AD">
        <w:rPr>
          <w:rFonts w:ascii="Tahoma" w:hAnsi="Tahoma" w:cs="Tahoma"/>
        </w:rPr>
        <w:t xml:space="preserve">. 171-172. </w:t>
      </w:r>
      <w:r w:rsidRPr="00167123">
        <w:rPr>
          <w:rFonts w:ascii="Tahoma" w:hAnsi="Tahoma" w:cs="Tahoma"/>
          <w:i/>
          <w:lang w:val="en-US"/>
        </w:rPr>
        <w:t>J</w:t>
      </w:r>
      <w:r w:rsidRPr="00167123">
        <w:rPr>
          <w:rFonts w:ascii="Tahoma" w:hAnsi="Tahoma" w:cs="Tahoma"/>
          <w:i/>
        </w:rPr>
        <w:t xml:space="preserve">. </w:t>
      </w:r>
      <w:r w:rsidRPr="00167123">
        <w:rPr>
          <w:rFonts w:ascii="Tahoma" w:hAnsi="Tahoma" w:cs="Tahoma"/>
          <w:i/>
          <w:lang w:val="en-US"/>
        </w:rPr>
        <w:t>Peto</w:t>
      </w:r>
      <w:r w:rsidRPr="009B2E31">
        <w:rPr>
          <w:rFonts w:ascii="Tahoma" w:hAnsi="Tahoma" w:cs="Tahoma"/>
        </w:rPr>
        <w:t>, “</w:t>
      </w:r>
      <w:r w:rsidRPr="009B2E31">
        <w:rPr>
          <w:rFonts w:ascii="Tahoma" w:hAnsi="Tahoma" w:cs="Tahoma"/>
          <w:lang w:val="en-US"/>
        </w:rPr>
        <w:t>Cancer</w:t>
      </w:r>
      <w:r w:rsidRPr="009B2E31">
        <w:rPr>
          <w:rFonts w:ascii="Tahoma" w:hAnsi="Tahoma" w:cs="Tahoma"/>
        </w:rPr>
        <w:t xml:space="preserve"> </w:t>
      </w:r>
      <w:r w:rsidRPr="009B2E31">
        <w:rPr>
          <w:rFonts w:ascii="Tahoma" w:hAnsi="Tahoma" w:cs="Tahoma"/>
          <w:lang w:val="en-US"/>
        </w:rPr>
        <w:t>Epidemiology</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Last</w:t>
      </w:r>
      <w:r w:rsidRPr="009B2E31">
        <w:rPr>
          <w:rFonts w:ascii="Tahoma" w:hAnsi="Tahoma" w:cs="Tahoma"/>
        </w:rPr>
        <w:t xml:space="preserve"> </w:t>
      </w:r>
      <w:r w:rsidRPr="009B2E31">
        <w:rPr>
          <w:rFonts w:ascii="Tahoma" w:hAnsi="Tahoma" w:cs="Tahoma"/>
          <w:lang w:val="en-US"/>
        </w:rPr>
        <w:t>Century</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Next</w:t>
      </w:r>
      <w:r w:rsidRPr="009B2E31">
        <w:rPr>
          <w:rFonts w:ascii="Tahoma" w:hAnsi="Tahoma" w:cs="Tahoma"/>
        </w:rPr>
        <w:t xml:space="preserve"> </w:t>
      </w:r>
      <w:r w:rsidRPr="009B2E31">
        <w:rPr>
          <w:rFonts w:ascii="Tahoma" w:hAnsi="Tahoma" w:cs="Tahoma"/>
          <w:lang w:val="en-US"/>
        </w:rPr>
        <w:t>Decade</w:t>
      </w:r>
      <w:r w:rsidRPr="009B2E31">
        <w:rPr>
          <w:rFonts w:ascii="Tahoma" w:hAnsi="Tahoma" w:cs="Tahoma"/>
        </w:rPr>
        <w:t xml:space="preserve">”, </w:t>
      </w:r>
      <w:r w:rsidRPr="009B2E31">
        <w:rPr>
          <w:rFonts w:ascii="Tahoma" w:hAnsi="Tahoma" w:cs="Tahoma"/>
          <w:lang w:val="en-US"/>
        </w:rPr>
        <w:t>Nature</w:t>
      </w:r>
      <w:r w:rsidRPr="009B2E31">
        <w:rPr>
          <w:rFonts w:ascii="Tahoma" w:hAnsi="Tahoma" w:cs="Tahoma"/>
        </w:rPr>
        <w:t xml:space="preserve">, </w:t>
      </w:r>
      <w:r w:rsidRPr="009B2E31">
        <w:rPr>
          <w:rFonts w:ascii="Tahoma" w:hAnsi="Tahoma" w:cs="Tahoma"/>
          <w:lang w:val="en-US"/>
        </w:rPr>
        <w:t>Vol</w:t>
      </w:r>
      <w:r>
        <w:rPr>
          <w:rFonts w:ascii="Tahoma" w:hAnsi="Tahoma" w:cs="Tahoma"/>
        </w:rPr>
        <w:t>. 411, 2001</w:t>
      </w:r>
      <w:r w:rsidRPr="002C4C48">
        <w:rPr>
          <w:rFonts w:ascii="Tahoma" w:hAnsi="Tahoma" w:cs="Tahoma"/>
        </w:rPr>
        <w:t>,</w:t>
      </w:r>
      <w:r w:rsidRPr="009B2E31">
        <w:rPr>
          <w:rFonts w:ascii="Tahoma" w:hAnsi="Tahoma" w:cs="Tahoma"/>
        </w:rPr>
        <w:t xml:space="preserve"> σ. 392 (ο οποίος τονίζει ότι η αδυναμία της μεθόδου της εκτίμησης του κινδύνου να προβλέψει τον κίνδυνο των εργαζομένων από την έκθεση στον αμίαντο είχε σαν αποτέλεσμα το δημιουργία καρκίνου χιλιάδων ανθρώπων και την πολύ πιθανή εμφάνιση επί πλέον 250.000 καρκίνων στην Ευρώπη τα επόμενα χρόνια.)</w:t>
      </w:r>
    </w:p>
  </w:footnote>
  <w:footnote w:id="65">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9290A">
        <w:rPr>
          <w:rFonts w:ascii="Tahoma" w:hAnsi="Tahoma" w:cs="Tahoma"/>
          <w:i/>
          <w:lang w:val="en-GB"/>
        </w:rPr>
        <w:t>J.D. Graham</w:t>
      </w:r>
      <w:r w:rsidRPr="009B2E31">
        <w:rPr>
          <w:rFonts w:ascii="Tahoma" w:hAnsi="Tahoma" w:cs="Tahoma"/>
          <w:lang w:val="en-GB"/>
        </w:rPr>
        <w:t>, “Legislative Approaches to Achieving More Protection Against</w:t>
      </w:r>
      <w:r w:rsidRPr="009B2E31">
        <w:rPr>
          <w:rFonts w:ascii="Tahoma" w:hAnsi="Tahoma" w:cs="Tahoma"/>
          <w:lang w:val="en-US"/>
        </w:rPr>
        <w:t xml:space="preserve"> Risk at Less Costs”,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13 </w:t>
      </w:r>
      <w:r w:rsidRPr="009B2E31">
        <w:rPr>
          <w:rFonts w:ascii="Tahoma" w:hAnsi="Tahoma" w:cs="Tahoma"/>
        </w:rPr>
        <w:t>επ</w:t>
      </w:r>
      <w:r w:rsidRPr="009B2E31">
        <w:rPr>
          <w:rFonts w:ascii="Tahoma" w:hAnsi="Tahoma" w:cs="Tahoma"/>
          <w:lang w:val="en-GB"/>
        </w:rPr>
        <w:t>.</w:t>
      </w:r>
    </w:p>
  </w:footnote>
  <w:footnote w:id="66">
    <w:p w:rsidR="00ED6DB8" w:rsidRPr="00703E9F" w:rsidRDefault="00ED6DB8" w:rsidP="00ED6DB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en-GB"/>
        </w:rPr>
        <w:t xml:space="preserve"> </w:t>
      </w:r>
      <w:r w:rsidRPr="00B9290A">
        <w:rPr>
          <w:rFonts w:ascii="Tahoma" w:hAnsi="Tahoma" w:cs="Tahoma"/>
          <w:i/>
          <w:lang w:val="en-US"/>
        </w:rPr>
        <w:t>R. Percival, C. Schroeder, A. Miller, J. Leape</w:t>
      </w:r>
      <w:r w:rsidRPr="009B2E31">
        <w:rPr>
          <w:rFonts w:ascii="Tahoma" w:hAnsi="Tahoma" w:cs="Tahoma"/>
          <w:lang w:val="en-US"/>
        </w:rPr>
        <w:t xml:space="preserve">, Environmental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w:t>
      </w:r>
      <w:r w:rsidRPr="009B2E31">
        <w:rPr>
          <w:rFonts w:ascii="Tahoma" w:hAnsi="Tahoma" w:cs="Tahoma"/>
          <w:lang w:val="en-GB"/>
        </w:rPr>
        <w:t xml:space="preserve"> 224.</w:t>
      </w:r>
      <w:r w:rsidRPr="00703E9F">
        <w:rPr>
          <w:rFonts w:ascii="Tahoma" w:hAnsi="Tahoma" w:cs="Tahoma"/>
          <w:i/>
          <w:lang w:val="en-GB"/>
        </w:rPr>
        <w:t xml:space="preserve"> </w:t>
      </w:r>
      <w:r w:rsidRPr="00E73FB8">
        <w:rPr>
          <w:rFonts w:ascii="Tahoma" w:hAnsi="Tahoma" w:cs="Tahoma"/>
          <w:i/>
          <w:lang w:val="fr-FR"/>
        </w:rPr>
        <w:t>C. Noiville, N. de Sadeleer</w:t>
      </w:r>
      <w:r w:rsidRPr="00E73FB8">
        <w:rPr>
          <w:rFonts w:ascii="Tahoma" w:hAnsi="Tahoma" w:cs="Tahoma"/>
          <w:lang w:val="fr-FR"/>
        </w:rPr>
        <w:t xml:space="preserve">, “La gestion des risques ecologiques et sanitaires a l’epreuve des chiffres. </w:t>
      </w:r>
      <w:r w:rsidRPr="00703E9F">
        <w:rPr>
          <w:rFonts w:ascii="Tahoma" w:hAnsi="Tahoma" w:cs="Tahoma"/>
          <w:lang w:val="fr-FR"/>
        </w:rPr>
        <w:t xml:space="preserve">Le droit entre enjeux scientifiques et politiques”, </w:t>
      </w:r>
      <w:r>
        <w:rPr>
          <w:rFonts w:ascii="Tahoma" w:hAnsi="Tahoma" w:cs="Tahoma"/>
        </w:rPr>
        <w:t>ό</w:t>
      </w:r>
      <w:r w:rsidRPr="00703E9F">
        <w:rPr>
          <w:rFonts w:ascii="Tahoma" w:hAnsi="Tahoma" w:cs="Tahoma"/>
          <w:lang w:val="fr-FR"/>
        </w:rPr>
        <w:t>.</w:t>
      </w:r>
      <w:r>
        <w:rPr>
          <w:rFonts w:ascii="Tahoma" w:hAnsi="Tahoma" w:cs="Tahoma"/>
        </w:rPr>
        <w:t>π</w:t>
      </w:r>
      <w:r w:rsidRPr="00703E9F">
        <w:rPr>
          <w:rFonts w:ascii="Tahoma" w:hAnsi="Tahoma" w:cs="Tahoma"/>
          <w:lang w:val="fr-FR"/>
        </w:rPr>
        <w:t xml:space="preserve">., </w:t>
      </w:r>
      <w:r>
        <w:rPr>
          <w:rFonts w:ascii="Tahoma" w:hAnsi="Tahoma" w:cs="Tahoma"/>
        </w:rPr>
        <w:t>σ</w:t>
      </w:r>
      <w:r w:rsidRPr="00703E9F">
        <w:rPr>
          <w:rFonts w:ascii="Tahoma" w:hAnsi="Tahoma" w:cs="Tahoma"/>
          <w:lang w:val="fr-FR"/>
        </w:rPr>
        <w:t xml:space="preserve">. 407. </w:t>
      </w:r>
      <w:r w:rsidRPr="00703E9F">
        <w:rPr>
          <w:rFonts w:ascii="Tahoma" w:hAnsi="Tahoma" w:cs="Tahoma"/>
          <w:i/>
          <w:lang w:val="fr-FR"/>
        </w:rPr>
        <w:t>B. Latour</w:t>
      </w:r>
      <w:r w:rsidRPr="00703E9F">
        <w:rPr>
          <w:rFonts w:ascii="Tahoma" w:hAnsi="Tahoma" w:cs="Tahoma"/>
          <w:lang w:val="fr-FR"/>
        </w:rPr>
        <w:t xml:space="preserve">, Politiques de la nature. Comment faire entrer les sciences en democratie, </w:t>
      </w:r>
      <w:r>
        <w:rPr>
          <w:rFonts w:ascii="Tahoma" w:hAnsi="Tahoma" w:cs="Tahoma"/>
        </w:rPr>
        <w:t>ό</w:t>
      </w:r>
      <w:r w:rsidRPr="00703E9F">
        <w:rPr>
          <w:rFonts w:ascii="Tahoma" w:hAnsi="Tahoma" w:cs="Tahoma"/>
          <w:lang w:val="fr-FR"/>
        </w:rPr>
        <w:t>.</w:t>
      </w:r>
      <w:r>
        <w:rPr>
          <w:rFonts w:ascii="Tahoma" w:hAnsi="Tahoma" w:cs="Tahoma"/>
        </w:rPr>
        <w:t>π</w:t>
      </w:r>
      <w:r w:rsidRPr="00703E9F">
        <w:rPr>
          <w:rFonts w:ascii="Tahoma" w:hAnsi="Tahoma" w:cs="Tahoma"/>
          <w:lang w:val="fr-FR"/>
        </w:rPr>
        <w:t xml:space="preserve">., </w:t>
      </w:r>
      <w:r>
        <w:rPr>
          <w:rFonts w:ascii="Tahoma" w:hAnsi="Tahoma" w:cs="Tahoma"/>
        </w:rPr>
        <w:t>σ</w:t>
      </w:r>
      <w:r w:rsidRPr="00703E9F">
        <w:rPr>
          <w:rFonts w:ascii="Tahoma" w:hAnsi="Tahoma" w:cs="Tahoma"/>
          <w:lang w:val="fr-FR"/>
        </w:rPr>
        <w:t xml:space="preserve">. 140 </w:t>
      </w:r>
      <w:r>
        <w:rPr>
          <w:rFonts w:ascii="Tahoma" w:hAnsi="Tahoma" w:cs="Tahoma"/>
        </w:rPr>
        <w:t>επ</w:t>
      </w:r>
      <w:r w:rsidRPr="00703E9F">
        <w:rPr>
          <w:rFonts w:ascii="Tahoma" w:hAnsi="Tahoma" w:cs="Tahoma"/>
          <w:lang w:val="fr-FR"/>
        </w:rPr>
        <w:t>.</w:t>
      </w:r>
    </w:p>
  </w:footnote>
  <w:footnote w:id="6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111B8">
        <w:rPr>
          <w:rFonts w:ascii="Tahoma" w:hAnsi="Tahoma" w:cs="Tahoma"/>
          <w:i/>
          <w:lang w:val="en-US"/>
        </w:rPr>
        <w:t>C. Campbell-Mohn, J.S. Applegate</w:t>
      </w:r>
      <w:r w:rsidRPr="009B2E31">
        <w:rPr>
          <w:rFonts w:ascii="Tahoma" w:hAnsi="Tahoma" w:cs="Tahoma"/>
          <w:lang w:val="en-US"/>
        </w:rPr>
        <w:t>, “Learning from NEPA: Guidelines for Responsible Risk Regulation”,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97.</w:t>
      </w:r>
      <w:r w:rsidRPr="009B2E31">
        <w:rPr>
          <w:rFonts w:ascii="Tahoma" w:hAnsi="Tahoma" w:cs="Tahoma"/>
          <w:lang w:val="en-US"/>
        </w:rPr>
        <w:t xml:space="preserve"> </w:t>
      </w:r>
      <w:r w:rsidRPr="00B9290A">
        <w:rPr>
          <w:rFonts w:ascii="Tahoma" w:hAnsi="Tahoma" w:cs="Tahoma"/>
          <w:i/>
          <w:lang w:val="en-US"/>
        </w:rPr>
        <w:t>E.K. Silbergeld</w:t>
      </w:r>
      <w:r w:rsidRPr="009B2E31">
        <w:rPr>
          <w:rFonts w:ascii="Tahoma" w:hAnsi="Tahoma" w:cs="Tahoma"/>
          <w:lang w:val="en-US"/>
        </w:rPr>
        <w:t>, “Risk Assessment and Risk Management: An uneasy Divorce”,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112.</w:t>
      </w:r>
    </w:p>
  </w:footnote>
  <w:footnote w:id="68">
    <w:p w:rsidR="00ED6DB8" w:rsidRPr="00703E9F"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70FA9">
        <w:rPr>
          <w:rFonts w:ascii="Tahoma" w:hAnsi="Tahoma" w:cs="Tahoma"/>
          <w:i/>
          <w:lang w:val="en-US"/>
        </w:rPr>
        <w:t>National Research Council</w:t>
      </w:r>
      <w:r w:rsidRPr="009B2E31">
        <w:rPr>
          <w:rFonts w:ascii="Tahoma" w:hAnsi="Tahoma" w:cs="Tahoma"/>
          <w:lang w:val="en-US"/>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w:t>
      </w:r>
      <w:r w:rsidRPr="00BB63D2">
        <w:rPr>
          <w:rFonts w:ascii="Tahoma" w:hAnsi="Tahoma" w:cs="Tahoma"/>
          <w:i/>
          <w:lang w:val="en-US"/>
        </w:rPr>
        <w:t xml:space="preserve"> </w:t>
      </w:r>
      <w:r>
        <w:rPr>
          <w:rFonts w:ascii="Tahoma" w:hAnsi="Tahoma" w:cs="Tahoma"/>
          <w:i/>
          <w:lang w:val="en-US"/>
        </w:rPr>
        <w:t>C.-F. Cranor</w:t>
      </w:r>
      <w:r>
        <w:rPr>
          <w:rFonts w:ascii="Tahoma" w:hAnsi="Tahoma" w:cs="Tahoma"/>
          <w:lang w:val="en-US"/>
        </w:rPr>
        <w:t xml:space="preserve">, Regulating Toxic Substances: A Philosophy of Science and the Law, </w:t>
      </w:r>
      <w:r>
        <w:rPr>
          <w:rFonts w:ascii="Tahoma" w:hAnsi="Tahoma" w:cs="Tahoma"/>
        </w:rPr>
        <w:t>ό</w:t>
      </w:r>
      <w:r w:rsidRPr="00703E9F">
        <w:rPr>
          <w:rFonts w:ascii="Tahoma" w:hAnsi="Tahoma" w:cs="Tahoma"/>
          <w:lang w:val="en-GB"/>
        </w:rPr>
        <w:t>.</w:t>
      </w:r>
      <w:r>
        <w:rPr>
          <w:rFonts w:ascii="Tahoma" w:hAnsi="Tahoma" w:cs="Tahoma"/>
        </w:rPr>
        <w:t>π</w:t>
      </w:r>
      <w:r w:rsidRPr="00703E9F">
        <w:rPr>
          <w:rFonts w:ascii="Tahoma" w:hAnsi="Tahoma" w:cs="Tahoma"/>
          <w:lang w:val="en-GB"/>
        </w:rPr>
        <w:t xml:space="preserve">., </w:t>
      </w:r>
      <w:r>
        <w:rPr>
          <w:rFonts w:ascii="Tahoma" w:hAnsi="Tahoma" w:cs="Tahoma"/>
        </w:rPr>
        <w:t>σ</w:t>
      </w:r>
      <w:r w:rsidRPr="00703E9F">
        <w:rPr>
          <w:rFonts w:ascii="Tahoma" w:hAnsi="Tahoma" w:cs="Tahoma"/>
          <w:lang w:val="en-GB"/>
        </w:rPr>
        <w:t xml:space="preserve">. 131 </w:t>
      </w:r>
      <w:r>
        <w:rPr>
          <w:rFonts w:ascii="Tahoma" w:hAnsi="Tahoma" w:cs="Tahoma"/>
        </w:rPr>
        <w:t>επ</w:t>
      </w:r>
      <w:r w:rsidRPr="00703E9F">
        <w:rPr>
          <w:rFonts w:ascii="Tahoma" w:hAnsi="Tahoma" w:cs="Tahoma"/>
          <w:lang w:val="en-GB"/>
        </w:rPr>
        <w:t>.</w:t>
      </w:r>
    </w:p>
  </w:footnote>
  <w:footnote w:id="69">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Συγκεκριμένα αναφέρει: Ο χαρακτηρισμός του κινδύνου είναι η απόληξη μιας αναλυτικής-διαβουλευτικής διαδικασίας. Η επιτυχία της εξαρτάται κατά κρίσιμο τρόπο από την κατάλληλη συστηματική ανάλυση του προβλήματος, απαντά στις ανάγκες των ενδιαφερόμενων μερών και όσων επηρεάζονται από το πρόβλημα, και εξετάζει τις σημαντικές αβεβαιότητες σχετικά με το υπό ρύθμιση πρόβλημα, με συνολικό τρόπο. Η επιτυχία της εξαρτάται επίσης από τη διαβούλευση, η οποία οριοθετεί το πρόβλημα, καθοδηγεί την ανάλυση και βελτιώνει την ικανότητα των ενδιαφερόμενων μερών και όσων επηρεάζονται από το πρόβλημα να συμμετάσχουν πραγματικά στη διαδικασία λήψης απόφασης. 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w:t>
      </w:r>
      <w:r w:rsidRPr="009B2E31">
        <w:rPr>
          <w:rFonts w:ascii="Tahoma" w:hAnsi="Tahoma" w:cs="Tahoma"/>
          <w:lang w:val="en-US"/>
        </w:rPr>
        <w:t xml:space="preserve"> </w:t>
      </w:r>
      <w:r w:rsidRPr="002C4C48">
        <w:rPr>
          <w:rFonts w:ascii="Tahoma" w:hAnsi="Tahoma" w:cs="Tahoma"/>
          <w:i/>
          <w:lang w:val="en-US"/>
        </w:rPr>
        <w:t>National Research Council</w:t>
      </w:r>
      <w:r w:rsidRPr="009B2E31">
        <w:rPr>
          <w:rFonts w:ascii="Tahoma" w:hAnsi="Tahoma" w:cs="Tahoma"/>
          <w:lang w:val="en-US"/>
        </w:rPr>
        <w:t xml:space="preserve">, Understanding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 </w:t>
      </w:r>
    </w:p>
  </w:footnote>
  <w:footnote w:id="70">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C4C48">
        <w:rPr>
          <w:rFonts w:ascii="Tahoma" w:hAnsi="Tahoma" w:cs="Tahoma"/>
          <w:i/>
          <w:lang w:val="en-US"/>
        </w:rPr>
        <w:t>Presidential</w:t>
      </w:r>
      <w:r w:rsidRPr="002C4C48">
        <w:rPr>
          <w:rFonts w:ascii="Tahoma" w:hAnsi="Tahoma" w:cs="Tahoma"/>
          <w:i/>
          <w:lang w:val="en-GB"/>
        </w:rPr>
        <w:t>/</w:t>
      </w:r>
      <w:r w:rsidRPr="002C4C48">
        <w:rPr>
          <w:rFonts w:ascii="Tahoma" w:hAnsi="Tahoma" w:cs="Tahoma"/>
          <w:i/>
          <w:lang w:val="en-US"/>
        </w:rPr>
        <w:t>Congressional</w:t>
      </w:r>
      <w:r w:rsidRPr="002C4C48">
        <w:rPr>
          <w:rFonts w:ascii="Tahoma" w:hAnsi="Tahoma" w:cs="Tahoma"/>
          <w:i/>
          <w:lang w:val="en-GB"/>
        </w:rPr>
        <w:t xml:space="preserve"> </w:t>
      </w:r>
      <w:r w:rsidRPr="002C4C48">
        <w:rPr>
          <w:rFonts w:ascii="Tahoma" w:hAnsi="Tahoma" w:cs="Tahoma"/>
          <w:i/>
          <w:lang w:val="en-US"/>
        </w:rPr>
        <w:t>Commission</w:t>
      </w:r>
      <w:r w:rsidRPr="002C4C48">
        <w:rPr>
          <w:rFonts w:ascii="Tahoma" w:hAnsi="Tahoma" w:cs="Tahoma"/>
          <w:i/>
          <w:lang w:val="en-GB"/>
        </w:rPr>
        <w:t xml:space="preserve"> </w:t>
      </w:r>
      <w:r w:rsidRPr="002C4C48">
        <w:rPr>
          <w:rFonts w:ascii="Tahoma" w:hAnsi="Tahoma" w:cs="Tahoma"/>
          <w:i/>
          <w:lang w:val="en-US"/>
        </w:rPr>
        <w:t>on</w:t>
      </w:r>
      <w:r w:rsidRPr="002C4C48">
        <w:rPr>
          <w:rFonts w:ascii="Tahoma" w:hAnsi="Tahoma" w:cs="Tahoma"/>
          <w:i/>
          <w:lang w:val="en-GB"/>
        </w:rPr>
        <w:t xml:space="preserve"> </w:t>
      </w:r>
      <w:r w:rsidRPr="002C4C48">
        <w:rPr>
          <w:rFonts w:ascii="Tahoma" w:hAnsi="Tahoma" w:cs="Tahoma"/>
          <w:i/>
          <w:lang w:val="en-US"/>
        </w:rPr>
        <w:t>Risk</w:t>
      </w:r>
      <w:r w:rsidRPr="002C4C48">
        <w:rPr>
          <w:rFonts w:ascii="Tahoma" w:hAnsi="Tahoma" w:cs="Tahoma"/>
          <w:i/>
          <w:lang w:val="en-GB"/>
        </w:rPr>
        <w:t xml:space="preserve"> </w:t>
      </w:r>
      <w:r w:rsidRPr="002C4C48">
        <w:rPr>
          <w:rFonts w:ascii="Tahoma" w:hAnsi="Tahoma" w:cs="Tahoma"/>
          <w:i/>
          <w:lang w:val="en-US"/>
        </w:rPr>
        <w:t>Assessment</w:t>
      </w:r>
      <w:r w:rsidRPr="009B2E31">
        <w:rPr>
          <w:rFonts w:ascii="Tahoma" w:hAnsi="Tahoma" w:cs="Tahoma"/>
          <w:lang w:val="en-GB"/>
        </w:rPr>
        <w:t>, Framework for Environmental Health Risk Management-Volume One (CRARM 1997.)</w:t>
      </w:r>
    </w:p>
  </w:footnote>
  <w:footnote w:id="71">
    <w:p w:rsidR="00ED6DB8" w:rsidRPr="002542B3" w:rsidRDefault="00ED6DB8" w:rsidP="00ED6DB8">
      <w:pPr>
        <w:pStyle w:val="FootnoteText"/>
        <w:jc w:val="both"/>
        <w:rPr>
          <w:rFonts w:ascii="Tahoma" w:hAnsi="Tahoma" w:cs="Tahoma"/>
        </w:rPr>
      </w:pPr>
      <w:r>
        <w:rPr>
          <w:rStyle w:val="FootnoteReference"/>
        </w:rPr>
        <w:footnoteRef/>
      </w:r>
      <w:r>
        <w:t xml:space="preserve"> </w:t>
      </w:r>
      <w:r>
        <w:rPr>
          <w:rFonts w:ascii="Tahoma" w:hAnsi="Tahoma" w:cs="Tahoma"/>
        </w:rPr>
        <w:t>Η έννοια της διαχείρισης δεν αποτελεί νομικό όρο, καθώς τα κείμενα κάνουν λόγο για ‘‘αποφάσεις’’ ή για ‘‘άδειες της αρμόδιας αρχής’’. Λίγα είναι τα νομικά κείμενα στα οποία γίνεται αναφορά στη ‘‘διαχείριση’’ (π.χ., στην οδηγία 2001/18/ΕΚ και στον Κανονισμό (ΕΚ) αριθ. 178/2002). Θα πρέπει να σημειωθεί ότι αυτή η μετατόπιση από την έννοια της απόφασης σ’ αυτή της διαχείρισης εξηγείται πιθανώς από τον πολλαπλασιασμό των περιπτώσεων στις οποίες η απόφαση δεν είναι οριστική αλλά πάντοτε προσωρινή καθώς εξαρτάται από την εξέλιξη των επιστημονικών ερευνών και προσαρμόζεται κατά την πορεία της κρίσης. Αυτόν λοιπόν το δυναμισμό τον εκφράζει η έννοια της διαχείρισης.</w:t>
      </w:r>
    </w:p>
  </w:footnote>
  <w:footnote w:id="72">
    <w:p w:rsidR="00ED6DB8" w:rsidRPr="0014043F" w:rsidRDefault="00ED6DB8" w:rsidP="00ED6DB8">
      <w:pPr>
        <w:pStyle w:val="FootnoteText"/>
        <w:jc w:val="both"/>
        <w:rPr>
          <w:rFonts w:ascii="Tahoma" w:hAnsi="Tahoma" w:cs="Tahoma"/>
          <w:lang w:val="de-DE"/>
        </w:rPr>
      </w:pPr>
      <w:r w:rsidRPr="009B2E31">
        <w:rPr>
          <w:rStyle w:val="FootnoteReference"/>
          <w:rFonts w:ascii="Tahoma" w:hAnsi="Tahoma" w:cs="Tahoma"/>
        </w:rPr>
        <w:footnoteRef/>
      </w:r>
      <w:r w:rsidRPr="0014043F">
        <w:rPr>
          <w:rFonts w:ascii="Tahoma" w:hAnsi="Tahoma" w:cs="Tahoma"/>
          <w:lang w:val="de-DE"/>
        </w:rPr>
        <w:t xml:space="preserve"> </w:t>
      </w:r>
      <w:r w:rsidRPr="0014043F">
        <w:rPr>
          <w:rFonts w:ascii="Tahoma" w:hAnsi="Tahoma" w:cs="Tahoma"/>
          <w:i/>
          <w:lang w:val="de-DE"/>
        </w:rPr>
        <w:t>J.B. Wiener</w:t>
      </w:r>
      <w:r w:rsidRPr="0014043F">
        <w:rPr>
          <w:rFonts w:ascii="Tahoma" w:hAnsi="Tahoma" w:cs="Tahoma"/>
          <w:lang w:val="de-DE"/>
        </w:rPr>
        <w:t xml:space="preserve">, “Better Regulation in Europe”, </w:t>
      </w:r>
      <w:r w:rsidRPr="009B2E31">
        <w:rPr>
          <w:rFonts w:ascii="Tahoma" w:hAnsi="Tahoma" w:cs="Tahoma"/>
        </w:rPr>
        <w:t>ό</w:t>
      </w:r>
      <w:r w:rsidRPr="0014043F">
        <w:rPr>
          <w:rFonts w:ascii="Tahoma" w:hAnsi="Tahoma" w:cs="Tahoma"/>
          <w:lang w:val="de-DE"/>
        </w:rPr>
        <w:t>.</w:t>
      </w:r>
      <w:r w:rsidRPr="009B2E31">
        <w:rPr>
          <w:rFonts w:ascii="Tahoma" w:hAnsi="Tahoma" w:cs="Tahoma"/>
        </w:rPr>
        <w:t>π</w:t>
      </w:r>
      <w:r w:rsidRPr="0014043F">
        <w:rPr>
          <w:rFonts w:ascii="Tahoma" w:hAnsi="Tahoma" w:cs="Tahoma"/>
          <w:lang w:val="de-DE"/>
        </w:rPr>
        <w:t xml:space="preserve">., </w:t>
      </w:r>
      <w:r w:rsidRPr="009B2E31">
        <w:rPr>
          <w:rFonts w:ascii="Tahoma" w:hAnsi="Tahoma" w:cs="Tahoma"/>
        </w:rPr>
        <w:t>σ</w:t>
      </w:r>
      <w:r w:rsidRPr="0014043F">
        <w:rPr>
          <w:rFonts w:ascii="Tahoma" w:hAnsi="Tahoma" w:cs="Tahoma"/>
          <w:lang w:val="de-DE"/>
        </w:rPr>
        <w:t>. 480.</w:t>
      </w:r>
    </w:p>
  </w:footnote>
  <w:footnote w:id="73">
    <w:p w:rsidR="00ED6DB8" w:rsidRPr="00ED6DB8" w:rsidRDefault="00ED6DB8" w:rsidP="00ED6DB8">
      <w:pPr>
        <w:pStyle w:val="FootnoteText"/>
        <w:jc w:val="both"/>
        <w:rPr>
          <w:rFonts w:ascii="Tahoma" w:hAnsi="Tahoma" w:cs="Tahoma"/>
        </w:rPr>
      </w:pPr>
      <w:r w:rsidRPr="009B2E31">
        <w:rPr>
          <w:rStyle w:val="FootnoteReference"/>
          <w:rFonts w:ascii="Tahoma" w:hAnsi="Tahoma" w:cs="Tahoma"/>
        </w:rPr>
        <w:footnoteRef/>
      </w:r>
      <w:r w:rsidRPr="00ED6DB8">
        <w:rPr>
          <w:rFonts w:ascii="Tahoma" w:hAnsi="Tahoma" w:cs="Tahoma"/>
        </w:rPr>
        <w:t xml:space="preserve"> </w:t>
      </w:r>
      <w:r w:rsidRPr="009B2E31">
        <w:rPr>
          <w:rFonts w:ascii="Tahoma" w:hAnsi="Tahoma" w:cs="Tahoma"/>
        </w:rPr>
        <w:t>Υπόθεση</w:t>
      </w:r>
      <w:r w:rsidRPr="00ED6DB8">
        <w:rPr>
          <w:rFonts w:ascii="Tahoma" w:hAnsi="Tahoma" w:cs="Tahoma"/>
        </w:rPr>
        <w:t xml:space="preserve"> </w:t>
      </w:r>
      <w:r w:rsidRPr="009B2E31">
        <w:rPr>
          <w:rFonts w:ascii="Tahoma" w:hAnsi="Tahoma" w:cs="Tahoma"/>
          <w:lang w:val="en-GB"/>
        </w:rPr>
        <w:t>T</w:t>
      </w:r>
      <w:r w:rsidRPr="00ED6DB8">
        <w:rPr>
          <w:rFonts w:ascii="Tahoma" w:hAnsi="Tahoma" w:cs="Tahoma"/>
        </w:rPr>
        <w:t xml:space="preserve">-13/99 </w:t>
      </w:r>
      <w:r w:rsidRPr="009B2E31">
        <w:rPr>
          <w:rFonts w:ascii="Tahoma" w:hAnsi="Tahoma" w:cs="Tahoma"/>
          <w:lang w:val="en-GB"/>
        </w:rPr>
        <w:t>Pfizer</w:t>
      </w:r>
      <w:r w:rsidRPr="00ED6DB8">
        <w:rPr>
          <w:rFonts w:ascii="Tahoma" w:hAnsi="Tahoma" w:cs="Tahoma"/>
        </w:rPr>
        <w:t xml:space="preserve"> </w:t>
      </w:r>
      <w:r w:rsidRPr="009B2E31">
        <w:rPr>
          <w:rFonts w:ascii="Tahoma" w:hAnsi="Tahoma" w:cs="Tahoma"/>
          <w:lang w:val="en-GB"/>
        </w:rPr>
        <w:t>Animal</w:t>
      </w:r>
      <w:r w:rsidRPr="00ED6DB8">
        <w:rPr>
          <w:rFonts w:ascii="Tahoma" w:hAnsi="Tahoma" w:cs="Tahoma"/>
        </w:rPr>
        <w:t xml:space="preserve"> </w:t>
      </w:r>
      <w:r w:rsidRPr="009B2E31">
        <w:rPr>
          <w:rFonts w:ascii="Tahoma" w:hAnsi="Tahoma" w:cs="Tahoma"/>
          <w:lang w:val="en-GB"/>
        </w:rPr>
        <w:t>Health</w:t>
      </w:r>
      <w:r w:rsidRPr="00ED6DB8">
        <w:rPr>
          <w:rFonts w:ascii="Tahoma" w:hAnsi="Tahoma" w:cs="Tahoma"/>
        </w:rPr>
        <w:t xml:space="preserve"> </w:t>
      </w:r>
      <w:r w:rsidRPr="009B2E31">
        <w:rPr>
          <w:rFonts w:ascii="Tahoma" w:hAnsi="Tahoma" w:cs="Tahoma"/>
          <w:lang w:val="en-GB"/>
        </w:rPr>
        <w:t>SA</w:t>
      </w:r>
      <w:r w:rsidRPr="00ED6DB8">
        <w:rPr>
          <w:rFonts w:ascii="Tahoma" w:hAnsi="Tahoma" w:cs="Tahoma"/>
        </w:rPr>
        <w:t xml:space="preserve"> </w:t>
      </w:r>
      <w:r w:rsidRPr="009B2E31">
        <w:rPr>
          <w:rFonts w:ascii="Tahoma" w:hAnsi="Tahoma" w:cs="Tahoma"/>
        </w:rPr>
        <w:t>κατά</w:t>
      </w:r>
      <w:r w:rsidRPr="00ED6DB8">
        <w:rPr>
          <w:rFonts w:ascii="Tahoma" w:hAnsi="Tahoma" w:cs="Tahoma"/>
        </w:rPr>
        <w:t xml:space="preserve"> </w:t>
      </w:r>
      <w:r w:rsidRPr="009B2E31">
        <w:rPr>
          <w:rFonts w:ascii="Tahoma" w:hAnsi="Tahoma" w:cs="Tahoma"/>
        </w:rPr>
        <w:t>Συμβουλίου</w:t>
      </w:r>
      <w:r w:rsidRPr="00ED6DB8">
        <w:rPr>
          <w:rFonts w:ascii="Tahoma" w:hAnsi="Tahoma" w:cs="Tahoma"/>
        </w:rPr>
        <w:t xml:space="preserve"> [2002] </w:t>
      </w:r>
      <w:r w:rsidRPr="009B2E31">
        <w:rPr>
          <w:rFonts w:ascii="Tahoma" w:hAnsi="Tahoma" w:cs="Tahoma"/>
        </w:rPr>
        <w:t>Συλλ</w:t>
      </w:r>
      <w:r w:rsidRPr="00ED6DB8">
        <w:rPr>
          <w:rFonts w:ascii="Tahoma" w:hAnsi="Tahoma" w:cs="Tahoma"/>
        </w:rPr>
        <w:t xml:space="preserve"> </w:t>
      </w:r>
      <w:r w:rsidRPr="009B2E31">
        <w:rPr>
          <w:rFonts w:ascii="Tahoma" w:hAnsi="Tahoma" w:cs="Tahoma"/>
          <w:lang w:val="en-GB"/>
        </w:rPr>
        <w:t>II</w:t>
      </w:r>
      <w:r w:rsidRPr="00ED6DB8">
        <w:rPr>
          <w:rFonts w:ascii="Tahoma" w:hAnsi="Tahoma" w:cs="Tahoma"/>
        </w:rPr>
        <w:t xml:space="preserve">-3305 </w:t>
      </w:r>
      <w:r w:rsidRPr="009B2E31">
        <w:rPr>
          <w:rFonts w:ascii="Tahoma" w:hAnsi="Tahoma" w:cs="Tahoma"/>
        </w:rPr>
        <w:t>και</w:t>
      </w:r>
      <w:r w:rsidRPr="00ED6DB8">
        <w:rPr>
          <w:rFonts w:ascii="Tahoma" w:hAnsi="Tahoma" w:cs="Tahoma"/>
        </w:rPr>
        <w:t xml:space="preserve"> </w:t>
      </w:r>
      <w:r w:rsidRPr="009B2E31">
        <w:rPr>
          <w:rFonts w:ascii="Tahoma" w:hAnsi="Tahoma" w:cs="Tahoma"/>
        </w:rPr>
        <w:t>υπόθεση</w:t>
      </w:r>
      <w:r w:rsidRPr="00ED6DB8">
        <w:rPr>
          <w:rFonts w:ascii="Tahoma" w:hAnsi="Tahoma" w:cs="Tahoma"/>
        </w:rPr>
        <w:t xml:space="preserve"> </w:t>
      </w:r>
      <w:r w:rsidRPr="009B2E31">
        <w:rPr>
          <w:rFonts w:ascii="Tahoma" w:hAnsi="Tahoma" w:cs="Tahoma"/>
          <w:lang w:val="en-US"/>
        </w:rPr>
        <w:t>T</w:t>
      </w:r>
      <w:r w:rsidRPr="00ED6DB8">
        <w:rPr>
          <w:rFonts w:ascii="Tahoma" w:hAnsi="Tahoma" w:cs="Tahoma"/>
        </w:rPr>
        <w:t xml:space="preserve">-70/99 </w:t>
      </w:r>
      <w:r w:rsidRPr="009B2E31">
        <w:rPr>
          <w:rFonts w:ascii="Tahoma" w:hAnsi="Tahoma" w:cs="Tahoma"/>
          <w:lang w:val="en-GB"/>
        </w:rPr>
        <w:t>Alpharma</w:t>
      </w:r>
      <w:r w:rsidRPr="00ED6DB8">
        <w:rPr>
          <w:rFonts w:ascii="Tahoma" w:hAnsi="Tahoma" w:cs="Tahoma"/>
        </w:rPr>
        <w:t xml:space="preserve"> </w:t>
      </w:r>
      <w:r w:rsidRPr="009B2E31">
        <w:rPr>
          <w:rFonts w:ascii="Tahoma" w:hAnsi="Tahoma" w:cs="Tahoma"/>
        </w:rPr>
        <w:t>κατά</w:t>
      </w:r>
      <w:r w:rsidRPr="00ED6DB8">
        <w:rPr>
          <w:rFonts w:ascii="Tahoma" w:hAnsi="Tahoma" w:cs="Tahoma"/>
        </w:rPr>
        <w:t xml:space="preserve"> </w:t>
      </w:r>
      <w:r w:rsidRPr="009B2E31">
        <w:rPr>
          <w:rFonts w:ascii="Tahoma" w:hAnsi="Tahoma" w:cs="Tahoma"/>
        </w:rPr>
        <w:t>Συμβουλίου</w:t>
      </w:r>
      <w:r w:rsidRPr="00ED6DB8">
        <w:rPr>
          <w:rFonts w:ascii="Tahoma" w:hAnsi="Tahoma" w:cs="Tahoma"/>
        </w:rPr>
        <w:t xml:space="preserve"> [2002] </w:t>
      </w:r>
      <w:r w:rsidRPr="009B2E31">
        <w:rPr>
          <w:rFonts w:ascii="Tahoma" w:hAnsi="Tahoma" w:cs="Tahoma"/>
        </w:rPr>
        <w:t>Συλλ</w:t>
      </w:r>
      <w:r w:rsidRPr="00ED6DB8">
        <w:rPr>
          <w:rFonts w:ascii="Tahoma" w:hAnsi="Tahoma" w:cs="Tahoma"/>
        </w:rPr>
        <w:t xml:space="preserve"> </w:t>
      </w:r>
      <w:r w:rsidRPr="009B2E31">
        <w:rPr>
          <w:rFonts w:ascii="Tahoma" w:hAnsi="Tahoma" w:cs="Tahoma"/>
          <w:lang w:val="en-GB"/>
        </w:rPr>
        <w:t>II</w:t>
      </w:r>
      <w:r w:rsidRPr="00ED6DB8">
        <w:rPr>
          <w:rFonts w:ascii="Tahoma" w:hAnsi="Tahoma" w:cs="Tahoma"/>
        </w:rPr>
        <w:t>-3495.</w:t>
      </w:r>
    </w:p>
  </w:footnote>
  <w:footnote w:id="74">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Contra, υπόθεση </w:t>
      </w:r>
      <w:r w:rsidRPr="009B2E31">
        <w:rPr>
          <w:rFonts w:ascii="Tahoma" w:hAnsi="Tahoma" w:cs="Tahoma"/>
          <w:lang w:val="en-US"/>
        </w:rPr>
        <w:t>C</w:t>
      </w:r>
      <w:r w:rsidRPr="009B2E31">
        <w:rPr>
          <w:rFonts w:ascii="Tahoma" w:hAnsi="Tahoma" w:cs="Tahoma"/>
        </w:rPr>
        <w:t xml:space="preserve">-212/91 </w:t>
      </w:r>
      <w:r w:rsidRPr="009B2E31">
        <w:rPr>
          <w:rFonts w:ascii="Tahoma" w:hAnsi="Tahoma" w:cs="Tahoma"/>
          <w:lang w:val="en-US"/>
        </w:rPr>
        <w:t>Angelopharm</w:t>
      </w:r>
      <w:r w:rsidRPr="009B2E31">
        <w:rPr>
          <w:rFonts w:ascii="Tahoma" w:hAnsi="Tahoma" w:cs="Tahoma"/>
        </w:rPr>
        <w:t xml:space="preserve"> [1994] Συλλ Ι-171, όπου τονίζεται ότι είναι υποχρεωτικό να συμβουλεύονται τα αρμόδια πολιτικά όργανα της Κοινότητας τις επιστημονικές επιτροπές. </w:t>
      </w:r>
    </w:p>
  </w:footnote>
  <w:footnote w:id="75">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GB"/>
        </w:rPr>
        <w:t>T</w:t>
      </w:r>
      <w:r w:rsidRPr="009B2E31">
        <w:rPr>
          <w:rFonts w:ascii="Tahoma" w:hAnsi="Tahoma" w:cs="Tahoma"/>
        </w:rPr>
        <w:t xml:space="preserve">-13/99 </w:t>
      </w:r>
      <w:r w:rsidRPr="009B2E31">
        <w:rPr>
          <w:rFonts w:ascii="Tahoma" w:hAnsi="Tahoma" w:cs="Tahoma"/>
          <w:lang w:val="en-GB"/>
        </w:rPr>
        <w:t>Pfizer</w:t>
      </w:r>
      <w:r w:rsidRPr="009B2E31">
        <w:rPr>
          <w:rFonts w:ascii="Tahoma" w:hAnsi="Tahoma" w:cs="Tahoma"/>
        </w:rPr>
        <w:t xml:space="preserve"> </w:t>
      </w:r>
      <w:r w:rsidRPr="009B2E31">
        <w:rPr>
          <w:rFonts w:ascii="Tahoma" w:hAnsi="Tahoma" w:cs="Tahoma"/>
          <w:lang w:val="en-GB"/>
        </w:rPr>
        <w:t>Animal</w:t>
      </w:r>
      <w:r w:rsidRPr="009B2E31">
        <w:rPr>
          <w:rFonts w:ascii="Tahoma" w:hAnsi="Tahoma" w:cs="Tahoma"/>
        </w:rPr>
        <w:t xml:space="preserve"> </w:t>
      </w:r>
      <w:r w:rsidRPr="009B2E31">
        <w:rPr>
          <w:rFonts w:ascii="Tahoma" w:hAnsi="Tahoma" w:cs="Tahoma"/>
          <w:lang w:val="en-GB"/>
        </w:rPr>
        <w:t>Health</w:t>
      </w:r>
      <w:r w:rsidRPr="009B2E31">
        <w:rPr>
          <w:rFonts w:ascii="Tahoma" w:hAnsi="Tahoma" w:cs="Tahoma"/>
        </w:rPr>
        <w:t xml:space="preserve"> </w:t>
      </w:r>
      <w:r w:rsidRPr="009B2E31">
        <w:rPr>
          <w:rFonts w:ascii="Tahoma" w:hAnsi="Tahoma" w:cs="Tahoma"/>
          <w:lang w:val="en-GB"/>
        </w:rPr>
        <w:t>SA</w:t>
      </w:r>
      <w:r w:rsidRPr="009B2E31">
        <w:rPr>
          <w:rFonts w:ascii="Tahoma" w:hAnsi="Tahoma" w:cs="Tahoma"/>
        </w:rPr>
        <w:t xml:space="preserve"> κατά Συμβουλίου, ό.π., παρ. 142-144. </w:t>
      </w:r>
    </w:p>
  </w:footnote>
  <w:footnote w:id="76">
    <w:p w:rsidR="00ED6DB8" w:rsidRPr="006654AD" w:rsidRDefault="00ED6DB8" w:rsidP="00ED6DB8">
      <w:pPr>
        <w:pStyle w:val="FootnoteText"/>
        <w:jc w:val="both"/>
        <w:rPr>
          <w:rFonts w:ascii="Tahoma" w:hAnsi="Tahoma" w:cs="Tahoma"/>
          <w:lang w:val="it-IT"/>
        </w:rPr>
      </w:pPr>
      <w:r w:rsidRPr="009B2E31">
        <w:rPr>
          <w:rStyle w:val="FootnoteReference"/>
          <w:rFonts w:ascii="Tahoma" w:hAnsi="Tahoma" w:cs="Tahoma"/>
        </w:rPr>
        <w:footnoteRef/>
      </w:r>
      <w:r w:rsidRPr="006654AD">
        <w:rPr>
          <w:rFonts w:ascii="Tahoma" w:hAnsi="Tahoma" w:cs="Tahoma"/>
          <w:lang w:val="it-IT"/>
        </w:rPr>
        <w:t xml:space="preserve"> </w:t>
      </w:r>
      <w:r w:rsidRPr="006654AD">
        <w:rPr>
          <w:rFonts w:ascii="Tahoma" w:hAnsi="Tahoma" w:cs="Tahoma"/>
          <w:i/>
          <w:lang w:val="it-IT"/>
        </w:rPr>
        <w:t>J.B. Wiener</w:t>
      </w:r>
      <w:r w:rsidRPr="006654AD">
        <w:rPr>
          <w:rFonts w:ascii="Tahoma" w:hAnsi="Tahoma" w:cs="Tahoma"/>
          <w:lang w:val="it-IT"/>
        </w:rPr>
        <w:t xml:space="preserve">, “Better Regulation in Europe”, </w:t>
      </w:r>
      <w:r w:rsidRPr="009B2E31">
        <w:rPr>
          <w:rFonts w:ascii="Tahoma" w:hAnsi="Tahoma" w:cs="Tahoma"/>
        </w:rPr>
        <w:t>ό</w:t>
      </w:r>
      <w:r w:rsidRPr="006654AD">
        <w:rPr>
          <w:rFonts w:ascii="Tahoma" w:hAnsi="Tahoma" w:cs="Tahoma"/>
          <w:lang w:val="it-IT"/>
        </w:rPr>
        <w:t>.</w:t>
      </w:r>
      <w:r w:rsidRPr="009B2E31">
        <w:rPr>
          <w:rFonts w:ascii="Tahoma" w:hAnsi="Tahoma" w:cs="Tahoma"/>
        </w:rPr>
        <w:t>π</w:t>
      </w:r>
      <w:r w:rsidRPr="006654AD">
        <w:rPr>
          <w:rFonts w:ascii="Tahoma" w:hAnsi="Tahoma" w:cs="Tahoma"/>
          <w:lang w:val="it-IT"/>
        </w:rPr>
        <w:t xml:space="preserve">., </w:t>
      </w:r>
      <w:r w:rsidRPr="009B2E31">
        <w:rPr>
          <w:rFonts w:ascii="Tahoma" w:hAnsi="Tahoma" w:cs="Tahoma"/>
        </w:rPr>
        <w:t>σ</w:t>
      </w:r>
      <w:r w:rsidRPr="006654AD">
        <w:rPr>
          <w:rFonts w:ascii="Tahoma" w:hAnsi="Tahoma" w:cs="Tahoma"/>
          <w:lang w:val="it-IT"/>
        </w:rPr>
        <w:t>. 481.</w:t>
      </w:r>
    </w:p>
  </w:footnote>
  <w:footnote w:id="77">
    <w:p w:rsidR="00ED6DB8" w:rsidRPr="006B1550" w:rsidRDefault="00ED6DB8" w:rsidP="00ED6DB8">
      <w:pPr>
        <w:pStyle w:val="FootnoteText"/>
        <w:jc w:val="both"/>
        <w:rPr>
          <w:rFonts w:ascii="Tahoma" w:hAnsi="Tahoma" w:cs="Tahoma"/>
        </w:rPr>
      </w:pPr>
      <w:r>
        <w:rPr>
          <w:rStyle w:val="FootnoteReference"/>
        </w:rPr>
        <w:footnoteRef/>
      </w:r>
      <w:r>
        <w:t xml:space="preserve"> </w:t>
      </w:r>
      <w:r>
        <w:rPr>
          <w:rFonts w:ascii="Tahoma" w:hAnsi="Tahoma" w:cs="Tahoma"/>
        </w:rPr>
        <w:t>Βλ, π.χ., άρθρο 7(1) του Κανονισμού (ΕΚ) αριθ. 1829/2003 του Ευρωπαϊκού Κοινοβουλίου και του Συμβουλίου της 22</w:t>
      </w:r>
      <w:r w:rsidRPr="006B1550">
        <w:rPr>
          <w:rFonts w:ascii="Tahoma" w:hAnsi="Tahoma" w:cs="Tahoma"/>
          <w:vertAlign w:val="superscript"/>
        </w:rPr>
        <w:t>ης</w:t>
      </w:r>
      <w:r>
        <w:rPr>
          <w:rFonts w:ascii="Tahoma" w:hAnsi="Tahoma" w:cs="Tahoma"/>
        </w:rPr>
        <w:t xml:space="preserve"> Σεπτεμβρίου 2003 για τα γενετικώς τροποποιημένα τρόφιμα και ζωοτροφές, ΕΕ L 268 της 18.10.2003, σ. 1.</w:t>
      </w:r>
    </w:p>
  </w:footnote>
  <w:footnote w:id="78">
    <w:p w:rsidR="00ED6DB8" w:rsidRPr="000B5B2A" w:rsidRDefault="00ED6DB8" w:rsidP="00ED6DB8">
      <w:pPr>
        <w:pStyle w:val="FootnoteText"/>
        <w:jc w:val="both"/>
        <w:rPr>
          <w:rFonts w:ascii="Tahoma" w:hAnsi="Tahoma" w:cs="Tahoma"/>
        </w:rPr>
      </w:pPr>
      <w:r>
        <w:rPr>
          <w:rStyle w:val="FootnoteReference"/>
        </w:rPr>
        <w:footnoteRef/>
      </w:r>
      <w:r>
        <w:t xml:space="preserve"> </w:t>
      </w:r>
      <w:r>
        <w:rPr>
          <w:rFonts w:ascii="Tahoma" w:hAnsi="Tahoma" w:cs="Tahoma"/>
        </w:rPr>
        <w:t xml:space="preserve">Υπόθεση </w:t>
      </w:r>
      <w:r w:rsidRPr="000B5B2A">
        <w:rPr>
          <w:rFonts w:ascii="Tahoma" w:hAnsi="Tahoma" w:cs="Tahoma"/>
        </w:rPr>
        <w:t xml:space="preserve">247/84 </w:t>
      </w:r>
      <w:r w:rsidRPr="000B5B2A">
        <w:rPr>
          <w:rFonts w:ascii="Tahoma" w:hAnsi="Tahoma" w:cs="Tahoma"/>
          <w:lang w:val="en-US"/>
        </w:rPr>
        <w:t>Motte</w:t>
      </w:r>
      <w:r w:rsidRPr="000B5B2A">
        <w:rPr>
          <w:rFonts w:ascii="Tahoma" w:hAnsi="Tahoma" w:cs="Tahoma"/>
        </w:rPr>
        <w:t xml:space="preserve"> [1985] Συλλ 3887, παράγρ. 20.</w:t>
      </w:r>
    </w:p>
  </w:footnote>
  <w:footnote w:id="79">
    <w:p w:rsidR="00ED6DB8" w:rsidRPr="00467839" w:rsidRDefault="00ED6DB8" w:rsidP="00ED6DB8">
      <w:pPr>
        <w:pStyle w:val="FootnoteText"/>
        <w:jc w:val="both"/>
      </w:pPr>
      <w:r w:rsidRPr="000B5B2A">
        <w:rPr>
          <w:rStyle w:val="FootnoteReference"/>
          <w:rFonts w:ascii="Tahoma" w:hAnsi="Tahoma" w:cs="Tahoma"/>
        </w:rPr>
        <w:footnoteRef/>
      </w:r>
      <w:r w:rsidRPr="000B5B2A">
        <w:rPr>
          <w:rFonts w:ascii="Tahoma" w:hAnsi="Tahoma" w:cs="Tahoma"/>
        </w:rPr>
        <w:t xml:space="preserve"> Κατά</w:t>
      </w:r>
      <w:r>
        <w:rPr>
          <w:rFonts w:ascii="Tahoma" w:hAnsi="Tahoma" w:cs="Tahoma"/>
        </w:rPr>
        <w:t xml:space="preserve"> πάγια νομολογία, οι επιστημονικές γνώμες των επιστημονικών επιτροπών της Κοινότητας δεν μπορούν να προσβληθούν ενώπιον του δικαστηρίου διότι θεωρούνται ‘‘προκαταρκτικές ή καθαρά προπαρασκευαστικές πράξεις’’. Βλ., ενδεικτικά, υπόθεση </w:t>
      </w:r>
      <w:r>
        <w:rPr>
          <w:rFonts w:ascii="Tahoma" w:hAnsi="Tahoma" w:cs="Tahoma"/>
          <w:lang w:val="en-US"/>
        </w:rPr>
        <w:t>T</w:t>
      </w:r>
      <w:r w:rsidRPr="000B5B2A">
        <w:rPr>
          <w:rFonts w:ascii="Tahoma" w:hAnsi="Tahoma" w:cs="Tahoma"/>
        </w:rPr>
        <w:t xml:space="preserve">-311/06 </w:t>
      </w:r>
      <w:r>
        <w:rPr>
          <w:rFonts w:ascii="Tahoma" w:hAnsi="Tahoma" w:cs="Tahoma"/>
          <w:lang w:val="en-US"/>
        </w:rPr>
        <w:t>FMC</w:t>
      </w:r>
      <w:r w:rsidRPr="000B5B2A">
        <w:rPr>
          <w:rFonts w:ascii="Tahoma" w:hAnsi="Tahoma" w:cs="Tahoma"/>
        </w:rPr>
        <w:t xml:space="preserve"> </w:t>
      </w:r>
      <w:r>
        <w:rPr>
          <w:rFonts w:ascii="Tahoma" w:hAnsi="Tahoma" w:cs="Tahoma"/>
          <w:lang w:val="en-US"/>
        </w:rPr>
        <w:t>Chemical</w:t>
      </w:r>
      <w:r w:rsidRPr="000B5B2A">
        <w:rPr>
          <w:rFonts w:ascii="Tahoma" w:hAnsi="Tahoma" w:cs="Tahoma"/>
        </w:rPr>
        <w:t xml:space="preserve"> </w:t>
      </w:r>
      <w:r>
        <w:rPr>
          <w:rFonts w:ascii="Tahoma" w:hAnsi="Tahoma" w:cs="Tahoma"/>
          <w:lang w:val="en-US"/>
        </w:rPr>
        <w:t>SPRL</w:t>
      </w:r>
      <w:r w:rsidRPr="000B5B2A">
        <w:rPr>
          <w:rFonts w:ascii="Tahoma" w:hAnsi="Tahoma" w:cs="Tahoma"/>
        </w:rPr>
        <w:t xml:space="preserve"> </w:t>
      </w:r>
      <w:r>
        <w:rPr>
          <w:rFonts w:ascii="Tahoma" w:hAnsi="Tahoma" w:cs="Tahoma"/>
        </w:rPr>
        <w:t>κατά</w:t>
      </w:r>
      <w:r w:rsidRPr="000B5B2A">
        <w:rPr>
          <w:rFonts w:ascii="Tahoma" w:hAnsi="Tahoma" w:cs="Tahoma"/>
        </w:rPr>
        <w:t xml:space="preserve"> </w:t>
      </w:r>
      <w:r>
        <w:rPr>
          <w:rFonts w:ascii="Tahoma" w:hAnsi="Tahoma" w:cs="Tahoma"/>
          <w:lang w:val="en-US"/>
        </w:rPr>
        <w:t>EFSA</w:t>
      </w:r>
      <w:r>
        <w:rPr>
          <w:rFonts w:ascii="Tahoma" w:hAnsi="Tahoma" w:cs="Tahoma"/>
        </w:rPr>
        <w:t>, Διάταξη της 17</w:t>
      </w:r>
      <w:r w:rsidRPr="000B5B2A">
        <w:rPr>
          <w:rFonts w:ascii="Tahoma" w:hAnsi="Tahoma" w:cs="Tahoma"/>
          <w:vertAlign w:val="superscript"/>
        </w:rPr>
        <w:t>ης</w:t>
      </w:r>
      <w:r>
        <w:rPr>
          <w:rFonts w:ascii="Tahoma" w:hAnsi="Tahoma" w:cs="Tahoma"/>
        </w:rPr>
        <w:t xml:space="preserve"> Ιουνίου 2008, παρ. 50, υπόθεση </w:t>
      </w:r>
      <w:r>
        <w:rPr>
          <w:rFonts w:ascii="Tahoma" w:hAnsi="Tahoma" w:cs="Tahoma"/>
          <w:lang w:val="en-US"/>
        </w:rPr>
        <w:t>T</w:t>
      </w:r>
      <w:r>
        <w:rPr>
          <w:rFonts w:ascii="Tahoma" w:hAnsi="Tahoma" w:cs="Tahoma"/>
        </w:rPr>
        <w:t>-397</w:t>
      </w:r>
      <w:r w:rsidRPr="000B5B2A">
        <w:rPr>
          <w:rFonts w:ascii="Tahoma" w:hAnsi="Tahoma" w:cs="Tahoma"/>
        </w:rPr>
        <w:t>/0</w:t>
      </w:r>
      <w:r>
        <w:rPr>
          <w:rFonts w:ascii="Tahoma" w:hAnsi="Tahoma" w:cs="Tahoma"/>
        </w:rPr>
        <w:t>6</w:t>
      </w:r>
      <w:r w:rsidRPr="000B5B2A">
        <w:rPr>
          <w:rFonts w:ascii="Tahoma" w:hAnsi="Tahoma" w:cs="Tahoma"/>
        </w:rPr>
        <w:t xml:space="preserve"> </w:t>
      </w:r>
      <w:r>
        <w:rPr>
          <w:rFonts w:ascii="Tahoma" w:hAnsi="Tahoma" w:cs="Tahoma"/>
          <w:lang w:val="en-US"/>
        </w:rPr>
        <w:t>Dow</w:t>
      </w:r>
      <w:r w:rsidRPr="000B5B2A">
        <w:rPr>
          <w:rFonts w:ascii="Tahoma" w:hAnsi="Tahoma" w:cs="Tahoma"/>
        </w:rPr>
        <w:t xml:space="preserve"> </w:t>
      </w:r>
      <w:r>
        <w:rPr>
          <w:rFonts w:ascii="Tahoma" w:hAnsi="Tahoma" w:cs="Tahoma"/>
          <w:lang w:val="en-US"/>
        </w:rPr>
        <w:t>AgroSciences</w:t>
      </w:r>
      <w:r w:rsidRPr="00467839">
        <w:rPr>
          <w:rFonts w:ascii="Tahoma" w:hAnsi="Tahoma" w:cs="Tahoma"/>
        </w:rPr>
        <w:t xml:space="preserve"> </w:t>
      </w:r>
      <w:r>
        <w:rPr>
          <w:rFonts w:ascii="Tahoma" w:hAnsi="Tahoma" w:cs="Tahoma"/>
          <w:lang w:val="en-US"/>
        </w:rPr>
        <w:t>Ltd</w:t>
      </w:r>
      <w:r w:rsidRPr="000B5B2A">
        <w:rPr>
          <w:rFonts w:ascii="Tahoma" w:hAnsi="Tahoma" w:cs="Tahoma"/>
        </w:rPr>
        <w:t xml:space="preserve"> </w:t>
      </w:r>
      <w:r>
        <w:rPr>
          <w:rFonts w:ascii="Tahoma" w:hAnsi="Tahoma" w:cs="Tahoma"/>
        </w:rPr>
        <w:t>κατά</w:t>
      </w:r>
      <w:r w:rsidRPr="000B5B2A">
        <w:rPr>
          <w:rFonts w:ascii="Tahoma" w:hAnsi="Tahoma" w:cs="Tahoma"/>
        </w:rPr>
        <w:t xml:space="preserve"> </w:t>
      </w:r>
      <w:r>
        <w:rPr>
          <w:rFonts w:ascii="Tahoma" w:hAnsi="Tahoma" w:cs="Tahoma"/>
          <w:lang w:val="en-US"/>
        </w:rPr>
        <w:t>EFSA</w:t>
      </w:r>
      <w:r>
        <w:rPr>
          <w:rFonts w:ascii="Tahoma" w:hAnsi="Tahoma" w:cs="Tahoma"/>
        </w:rPr>
        <w:t>, Διάταξη της 17</w:t>
      </w:r>
      <w:r w:rsidRPr="000B5B2A">
        <w:rPr>
          <w:rFonts w:ascii="Tahoma" w:hAnsi="Tahoma" w:cs="Tahoma"/>
          <w:vertAlign w:val="superscript"/>
        </w:rPr>
        <w:t>ης</w:t>
      </w:r>
      <w:r>
        <w:rPr>
          <w:rFonts w:ascii="Tahoma" w:hAnsi="Tahoma" w:cs="Tahoma"/>
        </w:rPr>
        <w:t xml:space="preserve"> Ιουνίου 2008, παρ. </w:t>
      </w:r>
      <w:r w:rsidRPr="00467839">
        <w:rPr>
          <w:rFonts w:ascii="Tahoma" w:hAnsi="Tahoma" w:cs="Tahoma"/>
        </w:rPr>
        <w:t>47</w:t>
      </w:r>
    </w:p>
  </w:footnote>
  <w:footnote w:id="80">
    <w:p w:rsidR="00ED6DB8" w:rsidRPr="00D76DA0" w:rsidRDefault="00ED6DB8" w:rsidP="00ED6DB8">
      <w:pPr>
        <w:pStyle w:val="FootnoteText"/>
        <w:jc w:val="both"/>
        <w:rPr>
          <w:rFonts w:ascii="Tahoma" w:hAnsi="Tahoma" w:cs="Tahoma"/>
        </w:rPr>
      </w:pPr>
      <w:r>
        <w:rPr>
          <w:rStyle w:val="FootnoteReference"/>
        </w:rPr>
        <w:footnoteRef/>
      </w:r>
      <w:r>
        <w:t xml:space="preserve"> </w:t>
      </w:r>
      <w:r>
        <w:rPr>
          <w:rFonts w:ascii="Tahoma" w:hAnsi="Tahoma" w:cs="Tahoma"/>
        </w:rPr>
        <w:t>Συνεκδικαζόμενες υποθέσεις Τ-141/00, Τ-144/00, κλπ Artegodan [2002] Συλλ ΙΙ-4945, παρ. 197.</w:t>
      </w:r>
    </w:p>
  </w:footnote>
  <w:footnote w:id="81">
    <w:p w:rsidR="00ED6DB8" w:rsidRPr="00E661BC" w:rsidRDefault="00ED6DB8" w:rsidP="00ED6DB8">
      <w:pPr>
        <w:pStyle w:val="FootnoteText"/>
        <w:jc w:val="both"/>
        <w:rPr>
          <w:rFonts w:ascii="Tahoma" w:hAnsi="Tahoma" w:cs="Tahoma"/>
        </w:rPr>
      </w:pPr>
      <w:r>
        <w:rPr>
          <w:rStyle w:val="FootnoteReference"/>
        </w:rPr>
        <w:footnoteRef/>
      </w:r>
      <w:r>
        <w:t xml:space="preserve"> </w:t>
      </w:r>
      <w:r>
        <w:rPr>
          <w:rFonts w:ascii="Tahoma" w:hAnsi="Tahoma" w:cs="Tahoma"/>
        </w:rPr>
        <w:t xml:space="preserve">Βλ., π.χ., υπόθεση C-138/79 </w:t>
      </w:r>
      <w:r>
        <w:rPr>
          <w:rFonts w:ascii="Tahoma" w:hAnsi="Tahoma" w:cs="Tahoma"/>
          <w:lang w:val="en-US"/>
        </w:rPr>
        <w:t>Roquette</w:t>
      </w:r>
      <w:r w:rsidRPr="00180D20">
        <w:rPr>
          <w:rFonts w:ascii="Tahoma" w:hAnsi="Tahoma" w:cs="Tahoma"/>
        </w:rPr>
        <w:t xml:space="preserve"> </w:t>
      </w:r>
      <w:r>
        <w:rPr>
          <w:rFonts w:ascii="Tahoma" w:hAnsi="Tahoma" w:cs="Tahoma"/>
          <w:lang w:val="en-US"/>
        </w:rPr>
        <w:t>Freres</w:t>
      </w:r>
      <w:r w:rsidRPr="00180D20">
        <w:rPr>
          <w:rFonts w:ascii="Tahoma" w:hAnsi="Tahoma" w:cs="Tahoma"/>
        </w:rPr>
        <w:t xml:space="preserve"> κατ</w:t>
      </w:r>
      <w:r>
        <w:rPr>
          <w:rFonts w:ascii="Tahoma" w:hAnsi="Tahoma" w:cs="Tahoma"/>
        </w:rPr>
        <w:t>ά Συμβουλίου [1980] Συλλ 3333. Υπόθεση C-</w:t>
      </w:r>
      <w:r w:rsidRPr="00E661BC">
        <w:rPr>
          <w:rFonts w:ascii="Tahoma" w:hAnsi="Tahoma" w:cs="Tahoma"/>
        </w:rPr>
        <w:t xml:space="preserve">341/95 </w:t>
      </w:r>
      <w:r>
        <w:rPr>
          <w:rFonts w:ascii="Tahoma" w:hAnsi="Tahoma" w:cs="Tahoma"/>
          <w:lang w:val="en-US"/>
        </w:rPr>
        <w:t>Bettati</w:t>
      </w:r>
      <w:r w:rsidRPr="00E661BC">
        <w:rPr>
          <w:rFonts w:ascii="Tahoma" w:hAnsi="Tahoma" w:cs="Tahoma"/>
        </w:rPr>
        <w:t>/</w:t>
      </w:r>
      <w:r>
        <w:rPr>
          <w:rFonts w:ascii="Tahoma" w:hAnsi="Tahoma" w:cs="Tahoma"/>
          <w:lang w:val="en-US"/>
        </w:rPr>
        <w:t>Safety</w:t>
      </w:r>
      <w:r w:rsidRPr="00E661BC">
        <w:rPr>
          <w:rFonts w:ascii="Tahoma" w:hAnsi="Tahoma" w:cs="Tahoma"/>
        </w:rPr>
        <w:t xml:space="preserve"> [1998] Συλλ Ι-</w:t>
      </w:r>
      <w:r>
        <w:rPr>
          <w:rFonts w:ascii="Tahoma" w:hAnsi="Tahoma" w:cs="Tahoma"/>
        </w:rPr>
        <w:t>4355.</w:t>
      </w:r>
      <w:r w:rsidRPr="00E661BC">
        <w:rPr>
          <w:rFonts w:ascii="Tahoma" w:hAnsi="Tahoma" w:cs="Tahoma"/>
        </w:rPr>
        <w:t xml:space="preserve"> </w:t>
      </w:r>
      <w:r>
        <w:rPr>
          <w:rFonts w:ascii="Tahoma" w:hAnsi="Tahoma" w:cs="Tahoma"/>
        </w:rPr>
        <w:t xml:space="preserve"> </w:t>
      </w:r>
    </w:p>
  </w:footnote>
  <w:footnote w:id="82">
    <w:p w:rsidR="00ED6DB8" w:rsidRPr="001B74FE" w:rsidRDefault="00ED6DB8" w:rsidP="00ED6DB8">
      <w:pPr>
        <w:pStyle w:val="FootnoteText"/>
        <w:jc w:val="both"/>
      </w:pPr>
      <w:r>
        <w:rPr>
          <w:rStyle w:val="FootnoteReference"/>
        </w:rPr>
        <w:footnoteRef/>
      </w:r>
      <w:r>
        <w:t xml:space="preserve"> </w:t>
      </w:r>
      <w:r>
        <w:rPr>
          <w:rFonts w:ascii="Tahoma" w:hAnsi="Tahoma" w:cs="Tahoma"/>
        </w:rPr>
        <w:t xml:space="preserve">Συνεκδικαζόμενες υποθέσεις Τ-141/00, Τ-144/00, κλπ Artegodan [2002] Συλλ ΙΙ-4945, παρ. 201, υπόθεση </w:t>
      </w:r>
      <w:r>
        <w:rPr>
          <w:rFonts w:ascii="Tahoma" w:hAnsi="Tahoma" w:cs="Tahoma"/>
          <w:lang w:val="en-US"/>
        </w:rPr>
        <w:t>C</w:t>
      </w:r>
      <w:r w:rsidRPr="001B74FE">
        <w:rPr>
          <w:rFonts w:ascii="Tahoma" w:hAnsi="Tahoma" w:cs="Tahoma"/>
        </w:rPr>
        <w:t xml:space="preserve">-198/03 </w:t>
      </w:r>
      <w:r>
        <w:rPr>
          <w:rFonts w:ascii="Tahoma" w:hAnsi="Tahoma" w:cs="Tahoma"/>
          <w:lang w:val="en-US"/>
        </w:rPr>
        <w:t>P</w:t>
      </w:r>
      <w:r w:rsidRPr="001B74FE">
        <w:rPr>
          <w:rFonts w:ascii="Tahoma" w:hAnsi="Tahoma" w:cs="Tahoma"/>
        </w:rPr>
        <w:t xml:space="preserve"> </w:t>
      </w:r>
      <w:r>
        <w:rPr>
          <w:rFonts w:ascii="Tahoma" w:hAnsi="Tahoma" w:cs="Tahoma"/>
        </w:rPr>
        <w:t xml:space="preserve">Επιτροπή κατά </w:t>
      </w:r>
      <w:r>
        <w:rPr>
          <w:rFonts w:ascii="Tahoma" w:hAnsi="Tahoma" w:cs="Tahoma"/>
          <w:lang w:val="en-US"/>
        </w:rPr>
        <w:t>Ceva</w:t>
      </w:r>
      <w:r w:rsidRPr="001B74FE">
        <w:rPr>
          <w:rFonts w:ascii="Tahoma" w:hAnsi="Tahoma" w:cs="Tahoma"/>
        </w:rPr>
        <w:t>/</w:t>
      </w:r>
      <w:r>
        <w:rPr>
          <w:rFonts w:ascii="Tahoma" w:hAnsi="Tahoma" w:cs="Tahoma"/>
          <w:lang w:val="en-US"/>
        </w:rPr>
        <w:t>Pfizer</w:t>
      </w:r>
      <w:r w:rsidRPr="001B74FE">
        <w:rPr>
          <w:rFonts w:ascii="Tahoma" w:hAnsi="Tahoma" w:cs="Tahoma"/>
        </w:rPr>
        <w:t xml:space="preserve"> [</w:t>
      </w:r>
      <w:r>
        <w:rPr>
          <w:rFonts w:ascii="Tahoma" w:hAnsi="Tahoma" w:cs="Tahoma"/>
        </w:rPr>
        <w:t>2005] Συλλ Ι-6357, παρ. 75.</w:t>
      </w:r>
    </w:p>
  </w:footnote>
  <w:footnote w:id="83">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Το ζήτημα της διαχείρισης του κινδύνου στις ΗΠΑ αποτελεί το κύριο αντικείμενο του αμερικανικού δικαίου του περιβάλλοντος. Η συντριπτική πλειοψηφία των αναρίθμητων επιστημονικών μελετών, όπως επίσης και το συντριπτικά μεγαλύτερο μέρος της νομολογίας ασχολούνται με το παραπάνω ζήτημα. Για τις ανάγκες της παρούσας μελέτης θα περιοριστούμε σε μια αδρή περιγραφή και ανάλυση, η οποία θέτει τις βασικές παραμέτρους του ζητήματος, ώστε να κατανοηθούν τα κύρια χαρακτηριστικά του. Αυτό θα μας βοηθήσει να εντοπίσουμε τις συμπτώσεις </w:t>
      </w:r>
      <w:r>
        <w:rPr>
          <w:rFonts w:ascii="Tahoma" w:hAnsi="Tahoma" w:cs="Tahoma"/>
        </w:rPr>
        <w:t>αλλά και</w:t>
      </w:r>
      <w:r w:rsidRPr="009B2E31">
        <w:rPr>
          <w:rFonts w:ascii="Tahoma" w:hAnsi="Tahoma" w:cs="Tahoma"/>
        </w:rPr>
        <w:t xml:space="preserve"> τις διαφορές των κανονιστικών συστημάτων που ισχύουν στις δύο πλευρές του Ατλαντικού.</w:t>
      </w:r>
    </w:p>
  </w:footnote>
  <w:footnote w:id="84">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Protection</w:t>
      </w:r>
      <w:r w:rsidRPr="009B2E31">
        <w:rPr>
          <w:rFonts w:ascii="Tahoma" w:hAnsi="Tahoma" w:cs="Tahoma"/>
        </w:rPr>
        <w:t xml:space="preserve"> </w:t>
      </w:r>
      <w:r w:rsidRPr="009B2E31">
        <w:rPr>
          <w:rFonts w:ascii="Tahoma" w:hAnsi="Tahoma" w:cs="Tahoma"/>
          <w:lang w:val="en-US"/>
        </w:rPr>
        <w:t>Agency</w:t>
      </w:r>
      <w:r w:rsidRPr="009B2E31">
        <w:rPr>
          <w:rFonts w:ascii="Tahoma" w:hAnsi="Tahoma" w:cs="Tahoma"/>
        </w:rPr>
        <w:t>. Οι αρμοδιότητές της αφορούν στην προστασία του περιβάλλοντος και της υγείας.</w:t>
      </w:r>
    </w:p>
  </w:footnote>
  <w:footnote w:id="85">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Occupational Safety and Health Administration. </w:t>
      </w:r>
      <w:r w:rsidRPr="009B2E31">
        <w:rPr>
          <w:rFonts w:ascii="Tahoma" w:hAnsi="Tahoma" w:cs="Tahoma"/>
        </w:rPr>
        <w:t>Οι αρμοδιότητές της αφορούν στην υγιεινή και προστασία των εργαζομένων από την έκθεση σε επικίνδυνες ουσίες.</w:t>
      </w:r>
    </w:p>
  </w:footnote>
  <w:footnote w:id="86">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Food</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Drug</w:t>
      </w:r>
      <w:r w:rsidRPr="009B2E31">
        <w:rPr>
          <w:rFonts w:ascii="Tahoma" w:hAnsi="Tahoma" w:cs="Tahoma"/>
        </w:rPr>
        <w:t xml:space="preserve"> </w:t>
      </w:r>
      <w:r w:rsidRPr="009B2E31">
        <w:rPr>
          <w:rFonts w:ascii="Tahoma" w:hAnsi="Tahoma" w:cs="Tahoma"/>
          <w:lang w:val="en-US"/>
        </w:rPr>
        <w:t>Administration</w:t>
      </w:r>
      <w:r w:rsidRPr="009B2E31">
        <w:rPr>
          <w:rFonts w:ascii="Tahoma" w:hAnsi="Tahoma" w:cs="Tahoma"/>
        </w:rPr>
        <w:t>. Οι αρμοδιότητες της αφορούν στην ασφάλεια των φαρμάκων και στη διατροφική ασφάλεια.</w:t>
      </w:r>
    </w:p>
  </w:footnote>
  <w:footnote w:id="87">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Fish</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Wildlife</w:t>
      </w:r>
      <w:r w:rsidRPr="009B2E31">
        <w:rPr>
          <w:rFonts w:ascii="Tahoma" w:hAnsi="Tahoma" w:cs="Tahoma"/>
        </w:rPr>
        <w:t xml:space="preserve"> </w:t>
      </w:r>
      <w:r w:rsidRPr="009B2E31">
        <w:rPr>
          <w:rFonts w:ascii="Tahoma" w:hAnsi="Tahoma" w:cs="Tahoma"/>
          <w:lang w:val="en-US"/>
        </w:rPr>
        <w:t>Service</w:t>
      </w:r>
      <w:r w:rsidRPr="009B2E31">
        <w:rPr>
          <w:rFonts w:ascii="Tahoma" w:hAnsi="Tahoma" w:cs="Tahoma"/>
        </w:rPr>
        <w:t>. Οι αρμοδιότητές της αφορούν στην προστασία της άγριας ζωής.</w:t>
      </w:r>
    </w:p>
  </w:footnote>
  <w:footnote w:id="8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i/>
          <w:lang w:val="en-US"/>
        </w:rPr>
        <w:t>R. Percival, C. Schroeder, A. Miller, J. Leape</w:t>
      </w:r>
      <w:r w:rsidRPr="009B2E31">
        <w:rPr>
          <w:rFonts w:ascii="Tahoma" w:hAnsi="Tahoma" w:cs="Tahoma"/>
          <w:lang w:val="en-US"/>
        </w:rPr>
        <w:t xml:space="preserve">, Environmental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w:t>
      </w:r>
      <w:r w:rsidRPr="009B2E31">
        <w:rPr>
          <w:rFonts w:ascii="Tahoma" w:hAnsi="Tahoma" w:cs="Tahoma"/>
          <w:lang w:val="en-GB"/>
        </w:rPr>
        <w:t xml:space="preserve"> 223 </w:t>
      </w:r>
      <w:r w:rsidRPr="009B2E31">
        <w:rPr>
          <w:rFonts w:ascii="Tahoma" w:hAnsi="Tahoma" w:cs="Tahoma"/>
        </w:rPr>
        <w:t>επ</w:t>
      </w:r>
      <w:r w:rsidRPr="009B2E31">
        <w:rPr>
          <w:rFonts w:ascii="Tahoma" w:hAnsi="Tahoma" w:cs="Tahoma"/>
          <w:lang w:val="en-GB"/>
        </w:rPr>
        <w:t xml:space="preserve">. </w:t>
      </w:r>
      <w:r w:rsidRPr="0054171A">
        <w:rPr>
          <w:rFonts w:ascii="Tahoma" w:hAnsi="Tahoma" w:cs="Tahoma"/>
          <w:bCs/>
          <w:i/>
          <w:lang w:val="en-US"/>
        </w:rPr>
        <w:t>A. Babich</w:t>
      </w:r>
      <w:r w:rsidRPr="009B2E31">
        <w:rPr>
          <w:rFonts w:ascii="Tahoma" w:hAnsi="Tahoma" w:cs="Tahoma"/>
          <w:lang w:val="en-US"/>
        </w:rPr>
        <w:t>, “Too Much Science in Environmental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126 </w:t>
      </w:r>
      <w:r w:rsidRPr="009B2E31">
        <w:rPr>
          <w:rFonts w:ascii="Tahoma" w:hAnsi="Tahoma" w:cs="Tahoma"/>
        </w:rPr>
        <w:t>επ</w:t>
      </w:r>
      <w:r w:rsidRPr="009B2E31">
        <w:rPr>
          <w:rFonts w:ascii="Tahoma" w:hAnsi="Tahoma" w:cs="Tahoma"/>
          <w:lang w:val="en-GB"/>
        </w:rPr>
        <w:t xml:space="preserve">. </w:t>
      </w:r>
      <w:r w:rsidRPr="0054171A">
        <w:rPr>
          <w:rFonts w:ascii="Tahoma" w:hAnsi="Tahoma" w:cs="Tahoma"/>
          <w:i/>
          <w:lang w:val="en-US"/>
        </w:rPr>
        <w:t>P. Ross McCubbint</w:t>
      </w:r>
      <w:r w:rsidRPr="009B2E31">
        <w:rPr>
          <w:rFonts w:ascii="Tahoma" w:hAnsi="Tahoma" w:cs="Tahoma"/>
          <w:lang w:val="en-US"/>
        </w:rPr>
        <w:t>, “The Risk in Technology-Based Standards”, Duke Environmental Law &amp; Poli</w:t>
      </w:r>
      <w:r>
        <w:rPr>
          <w:rFonts w:ascii="Tahoma" w:hAnsi="Tahoma" w:cs="Tahoma"/>
          <w:lang w:val="en-US"/>
        </w:rPr>
        <w:t>cy Forum, Vol. 16, 2005,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6 </w:t>
      </w:r>
      <w:r w:rsidRPr="009B2E31">
        <w:rPr>
          <w:rFonts w:ascii="Tahoma" w:hAnsi="Tahoma" w:cs="Tahoma"/>
        </w:rPr>
        <w:t>επ</w:t>
      </w:r>
      <w:r w:rsidRPr="009B2E31">
        <w:rPr>
          <w:rFonts w:ascii="Tahoma" w:hAnsi="Tahoma" w:cs="Tahoma"/>
          <w:lang w:val="en-GB"/>
        </w:rPr>
        <w:t>.</w:t>
      </w:r>
    </w:p>
  </w:footnote>
  <w:footnote w:id="89">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bCs/>
          <w:i/>
          <w:lang w:val="en-US"/>
        </w:rPr>
        <w:t>A. Babich</w:t>
      </w:r>
      <w:r w:rsidRPr="009B2E31">
        <w:rPr>
          <w:rFonts w:ascii="Tahoma" w:hAnsi="Tahoma" w:cs="Tahoma"/>
          <w:lang w:val="en-US"/>
        </w:rPr>
        <w:t>, “Too Much Science in Environmental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126. </w:t>
      </w:r>
      <w:r w:rsidRPr="0054171A">
        <w:rPr>
          <w:rFonts w:ascii="Tahoma" w:hAnsi="Tahoma" w:cs="Tahoma"/>
          <w:i/>
          <w:lang w:val="en-US"/>
        </w:rPr>
        <w:t>S.A. Shapiro, R.L. Glicksman</w:t>
      </w:r>
      <w:r w:rsidRPr="009B2E31">
        <w:rPr>
          <w:rFonts w:ascii="Tahoma" w:hAnsi="Tahoma" w:cs="Tahoma"/>
          <w:lang w:val="en-US"/>
        </w:rPr>
        <w:t xml:space="preserve">, Risk Regulation at Risk,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31 </w:t>
      </w:r>
      <w:r w:rsidRPr="009B2E31">
        <w:rPr>
          <w:rFonts w:ascii="Tahoma" w:hAnsi="Tahoma" w:cs="Tahoma"/>
        </w:rPr>
        <w:t>επ</w:t>
      </w:r>
      <w:r w:rsidRPr="009B2E31">
        <w:rPr>
          <w:rFonts w:ascii="Tahoma" w:hAnsi="Tahoma" w:cs="Tahoma"/>
          <w:lang w:val="en-GB"/>
        </w:rPr>
        <w:t>.</w:t>
      </w:r>
    </w:p>
  </w:footnote>
  <w:footnote w:id="90">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bCs/>
          <w:i/>
          <w:lang w:val="en-US"/>
        </w:rPr>
        <w:t>A. Babich</w:t>
      </w:r>
      <w:r w:rsidRPr="009B2E31">
        <w:rPr>
          <w:rFonts w:ascii="Tahoma" w:hAnsi="Tahoma" w:cs="Tahoma"/>
          <w:lang w:val="en-US"/>
        </w:rPr>
        <w:t>, “Too Much Science in Environmental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126. </w:t>
      </w:r>
      <w:r w:rsidRPr="0054171A">
        <w:rPr>
          <w:rFonts w:ascii="Tahoma" w:hAnsi="Tahoma" w:cs="Tahoma"/>
          <w:i/>
          <w:lang w:val="en-GB"/>
        </w:rPr>
        <w:t>T.O. McGarity</w:t>
      </w:r>
      <w:r w:rsidRPr="009B2E31">
        <w:rPr>
          <w:rFonts w:ascii="Tahoma" w:hAnsi="Tahoma" w:cs="Tahoma"/>
          <w:lang w:val="en-GB"/>
        </w:rPr>
        <w:t>, “The Goals of Environmental Legislation”, Boston College Environmental Affairs Law Re</w:t>
      </w:r>
      <w:r>
        <w:rPr>
          <w:rFonts w:ascii="Tahoma" w:hAnsi="Tahoma" w:cs="Tahoma"/>
          <w:lang w:val="en-GB"/>
        </w:rPr>
        <w:t>view, Vol. 31(3), 2004,</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545-46.</w:t>
      </w:r>
    </w:p>
  </w:footnote>
  <w:footnote w:id="91">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54171A">
        <w:rPr>
          <w:rFonts w:ascii="Tahoma" w:hAnsi="Tahoma" w:cs="Tahoma"/>
          <w:i/>
          <w:lang w:val="en-US"/>
        </w:rPr>
        <w:t>J</w:t>
      </w:r>
      <w:r w:rsidRPr="0054171A">
        <w:rPr>
          <w:rFonts w:ascii="Tahoma" w:hAnsi="Tahoma" w:cs="Tahoma"/>
          <w:i/>
        </w:rPr>
        <w:t>.</w:t>
      </w:r>
      <w:r w:rsidRPr="0054171A">
        <w:rPr>
          <w:rFonts w:ascii="Tahoma" w:hAnsi="Tahoma" w:cs="Tahoma"/>
          <w:i/>
          <w:lang w:val="en-US"/>
        </w:rPr>
        <w:t>M</w:t>
      </w:r>
      <w:r w:rsidRPr="0054171A">
        <w:rPr>
          <w:rFonts w:ascii="Tahoma" w:hAnsi="Tahoma" w:cs="Tahoma"/>
          <w:i/>
        </w:rPr>
        <w:t xml:space="preserve">. </w:t>
      </w:r>
      <w:r w:rsidRPr="0054171A">
        <w:rPr>
          <w:rFonts w:ascii="Tahoma" w:hAnsi="Tahoma" w:cs="Tahoma"/>
          <w:i/>
          <w:lang w:val="en-US"/>
        </w:rPr>
        <w:t>Feller</w:t>
      </w:r>
      <w:r w:rsidRPr="009B2E31">
        <w:rPr>
          <w:rFonts w:ascii="Tahoma" w:hAnsi="Tahoma" w:cs="Tahoma"/>
        </w:rPr>
        <w:t>, “</w:t>
      </w:r>
      <w:r w:rsidRPr="009B2E31">
        <w:rPr>
          <w:rFonts w:ascii="Tahoma" w:hAnsi="Tahoma" w:cs="Tahoma"/>
          <w:lang w:val="en-US"/>
        </w:rPr>
        <w:t>Non</w:t>
      </w:r>
      <w:r w:rsidRPr="009B2E31">
        <w:rPr>
          <w:rFonts w:ascii="Tahoma" w:hAnsi="Tahoma" w:cs="Tahoma"/>
        </w:rPr>
        <w:t>-</w:t>
      </w:r>
      <w:r w:rsidRPr="009B2E31">
        <w:rPr>
          <w:rFonts w:ascii="Tahoma" w:hAnsi="Tahoma" w:cs="Tahoma"/>
          <w:lang w:val="en-US"/>
        </w:rPr>
        <w:t>Threshold</w:t>
      </w:r>
      <w:r w:rsidRPr="009B2E31">
        <w:rPr>
          <w:rFonts w:ascii="Tahoma" w:hAnsi="Tahoma" w:cs="Tahoma"/>
        </w:rPr>
        <w:t xml:space="preserve"> </w:t>
      </w:r>
      <w:r w:rsidRPr="009B2E31">
        <w:rPr>
          <w:rFonts w:ascii="Tahoma" w:hAnsi="Tahoma" w:cs="Tahoma"/>
          <w:lang w:val="en-US"/>
        </w:rPr>
        <w:t>Pollutants</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Air</w:t>
      </w:r>
      <w:r w:rsidRPr="009B2E31">
        <w:rPr>
          <w:rFonts w:ascii="Tahoma" w:hAnsi="Tahoma" w:cs="Tahoma"/>
        </w:rPr>
        <w:t xml:space="preserve"> </w:t>
      </w:r>
      <w:r w:rsidRPr="009B2E31">
        <w:rPr>
          <w:rFonts w:ascii="Tahoma" w:hAnsi="Tahoma" w:cs="Tahoma"/>
          <w:lang w:val="en-US"/>
        </w:rPr>
        <w:t>Quality</w:t>
      </w:r>
      <w:r w:rsidRPr="009B2E31">
        <w:rPr>
          <w:rFonts w:ascii="Tahoma" w:hAnsi="Tahoma" w:cs="Tahoma"/>
        </w:rPr>
        <w:t xml:space="preserve"> </w:t>
      </w:r>
      <w:r w:rsidRPr="009B2E31">
        <w:rPr>
          <w:rFonts w:ascii="Tahoma" w:hAnsi="Tahoma" w:cs="Tahoma"/>
          <w:lang w:val="en-US"/>
        </w:rPr>
        <w:t>Standards</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Vol</w:t>
      </w:r>
      <w:r>
        <w:rPr>
          <w:rFonts w:ascii="Tahoma" w:hAnsi="Tahoma" w:cs="Tahoma"/>
        </w:rPr>
        <w:t>. 24, 1994</w:t>
      </w:r>
      <w:r w:rsidRPr="004119AD">
        <w:rPr>
          <w:rFonts w:ascii="Tahoma" w:hAnsi="Tahoma" w:cs="Tahoma"/>
        </w:rPr>
        <w:t>,</w:t>
      </w:r>
      <w:r w:rsidRPr="009B2E31">
        <w:rPr>
          <w:rFonts w:ascii="Tahoma" w:hAnsi="Tahoma" w:cs="Tahoma"/>
        </w:rPr>
        <w:t xml:space="preserve"> σ. 876-77 (ο οποίος τονίζει ότι η προσέγγιση με βάση την τεχνολογία δεν λαμβάνει υπόψη της τους κινδύνους για την υγεία που προέρχονται από τους ρύπους.)</w:t>
      </w:r>
    </w:p>
  </w:footnote>
  <w:footnote w:id="92">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54171A">
        <w:rPr>
          <w:rFonts w:ascii="Tahoma" w:hAnsi="Tahoma" w:cs="Tahoma"/>
          <w:i/>
          <w:lang w:val="en-GB"/>
        </w:rPr>
        <w:t>F.B. Cross</w:t>
      </w:r>
      <w:r w:rsidRPr="009B2E31">
        <w:rPr>
          <w:rFonts w:ascii="Tahoma" w:hAnsi="Tahoma" w:cs="Tahoma"/>
          <w:lang w:val="en-GB"/>
        </w:rPr>
        <w:t>, “When Environmental Regulations Kill: The role of Health/Health Analy</w:t>
      </w:r>
      <w:r w:rsidRPr="009B2E31">
        <w:rPr>
          <w:rFonts w:ascii="Tahoma" w:hAnsi="Tahoma" w:cs="Tahoma"/>
          <w:lang w:val="en-US"/>
        </w:rPr>
        <w:t xml:space="preserve">sis”, Ecology Law </w:t>
      </w:r>
      <w:r>
        <w:rPr>
          <w:rFonts w:ascii="Tahoma" w:hAnsi="Tahoma" w:cs="Tahoma"/>
          <w:lang w:val="en-US"/>
        </w:rPr>
        <w:t>Quarterly, Vol. 22, 1995,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730-31.</w:t>
      </w:r>
      <w:r w:rsidRPr="009B2E31">
        <w:rPr>
          <w:rFonts w:ascii="Tahoma" w:hAnsi="Tahoma" w:cs="Tahoma"/>
          <w:lang w:val="en-US"/>
        </w:rPr>
        <w:t xml:space="preserve"> </w:t>
      </w:r>
    </w:p>
  </w:footnote>
  <w:footnote w:id="93">
    <w:p w:rsidR="00ED6DB8" w:rsidRPr="009B2E31" w:rsidRDefault="00ED6DB8" w:rsidP="00ED6DB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bCs/>
          <w:i/>
          <w:lang w:val="en-US"/>
        </w:rPr>
        <w:t>A. Babich</w:t>
      </w:r>
      <w:r w:rsidRPr="009B2E31">
        <w:rPr>
          <w:rFonts w:ascii="Tahoma" w:hAnsi="Tahoma" w:cs="Tahoma"/>
          <w:lang w:val="en-US"/>
        </w:rPr>
        <w:t>, “Too Much Science in Environmental 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131-133.</w:t>
      </w:r>
    </w:p>
  </w:footnote>
  <w:footnote w:id="94">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i/>
          <w:lang w:val="en-GB"/>
        </w:rPr>
        <w:t>C.H. Schroeder, R. Steinzor</w:t>
      </w:r>
      <w:r w:rsidRPr="009B2E31">
        <w:rPr>
          <w:rFonts w:ascii="Tahoma" w:hAnsi="Tahoma" w:cs="Tahoma"/>
          <w:lang w:val="en-GB"/>
        </w:rPr>
        <w:t xml:space="preserve"> (eds), A New Progressive Agenda for Public Health and the Environment, </w:t>
      </w:r>
      <w:smartTag w:uri="urn:schemas-microsoft-com:office:smarttags" w:element="City">
        <w:smartTag w:uri="urn:schemas-microsoft-com:office:smarttags" w:element="place">
          <w:r w:rsidRPr="009B2E31">
            <w:rPr>
              <w:rFonts w:ascii="Tahoma" w:hAnsi="Tahoma" w:cs="Tahoma"/>
              <w:lang w:val="en-GB"/>
            </w:rPr>
            <w:t>Durham</w:t>
          </w:r>
        </w:smartTag>
      </w:smartTag>
      <w:r w:rsidRPr="009B2E31">
        <w:rPr>
          <w:rFonts w:ascii="Tahoma" w:hAnsi="Tahoma" w:cs="Tahoma"/>
          <w:lang w:val="en-GB"/>
        </w:rPr>
        <w:t>, Carolina Academic Press, 2004, σ. 57.</w:t>
      </w:r>
    </w:p>
  </w:footnote>
  <w:footnote w:id="95">
    <w:p w:rsidR="00ED6DB8" w:rsidRPr="009B2E31" w:rsidRDefault="00ED6DB8" w:rsidP="00ED6DB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w:t>
      </w:r>
      <w:r w:rsidRPr="009B2E31">
        <w:rPr>
          <w:rFonts w:ascii="Tahoma" w:hAnsi="Tahoma" w:cs="Tahoma"/>
          <w:lang w:val="en-US"/>
        </w:rPr>
        <w:t>supra</w:t>
      </w:r>
      <w:r w:rsidRPr="009B2E31">
        <w:rPr>
          <w:rFonts w:ascii="Tahoma" w:hAnsi="Tahoma" w:cs="Tahoma"/>
        </w:rPr>
        <w:t>, Πρώτο Μέρος, Πρώτο Κεφάλαιο.</w:t>
      </w:r>
    </w:p>
  </w:footnote>
  <w:footnote w:id="96">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54171A">
        <w:rPr>
          <w:rFonts w:ascii="Tahoma" w:hAnsi="Tahoma" w:cs="Tahoma"/>
          <w:i/>
          <w:lang w:val="en-US"/>
        </w:rPr>
        <w:t>D.T. Hornstein</w:t>
      </w:r>
      <w:r w:rsidRPr="009B2E31">
        <w:rPr>
          <w:rFonts w:ascii="Tahoma" w:hAnsi="Tahoma" w:cs="Tahoma"/>
          <w:lang w:val="en-US"/>
        </w:rPr>
        <w:t>, “Lessons from Federal Pesticide Regulation on the Paradigms and Politics of Environmental Law Reform’, Yale Journal on Regulation, Vol. 10, 199</w:t>
      </w:r>
      <w:r w:rsidRPr="009B2E31">
        <w:rPr>
          <w:rFonts w:ascii="Tahoma" w:hAnsi="Tahoma" w:cs="Tahoma"/>
          <w:lang w:val="en-GB"/>
        </w:rPr>
        <w:t>3</w:t>
      </w:r>
      <w:r>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371-72.</w:t>
      </w:r>
    </w:p>
  </w:footnote>
  <w:footnote w:id="97">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119AD">
        <w:rPr>
          <w:rFonts w:ascii="Tahoma" w:hAnsi="Tahoma" w:cs="Tahoma"/>
          <w:i/>
          <w:lang w:val="en-US"/>
        </w:rPr>
        <w:t>Ibid</w:t>
      </w:r>
      <w:r w:rsidRPr="009B2E31">
        <w:rPr>
          <w:rFonts w:ascii="Tahoma" w:hAnsi="Tahoma" w:cs="Tahoma"/>
          <w:lang w:val="en-US"/>
        </w:rPr>
        <w:t xml:space="preserve">., σ. 440-41. </w:t>
      </w:r>
      <w:r w:rsidRPr="009B2E31">
        <w:rPr>
          <w:rFonts w:ascii="Tahoma" w:hAnsi="Tahoma" w:cs="Tahoma"/>
        </w:rPr>
        <w:t>Επίσης</w:t>
      </w:r>
      <w:r w:rsidRPr="009B2E31">
        <w:rPr>
          <w:rFonts w:ascii="Tahoma" w:hAnsi="Tahoma" w:cs="Tahoma"/>
          <w:lang w:val="en-GB"/>
        </w:rPr>
        <w:t xml:space="preserve">, </w:t>
      </w:r>
      <w:r w:rsidRPr="004119AD">
        <w:rPr>
          <w:rFonts w:ascii="Tahoma" w:hAnsi="Tahoma" w:cs="Tahoma"/>
          <w:i/>
          <w:lang w:val="en-GB"/>
        </w:rPr>
        <w:t>C.H. Schroeder, R. Steinzor</w:t>
      </w:r>
      <w:r w:rsidRPr="009B2E31">
        <w:rPr>
          <w:rFonts w:ascii="Tahoma" w:hAnsi="Tahoma" w:cs="Tahoma"/>
          <w:lang w:val="en-GB"/>
        </w:rPr>
        <w:t xml:space="preserve"> (eds), A New Progressive Agenda for Public Health and the Environment,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161.  </w:t>
      </w:r>
    </w:p>
  </w:footnote>
  <w:footnote w:id="98">
    <w:p w:rsidR="00ED6DB8" w:rsidRPr="00E33149"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i/>
          <w:lang w:val="en-GB"/>
        </w:rPr>
        <w:t>T.O. McGarity</w:t>
      </w:r>
      <w:r w:rsidRPr="009B2E31">
        <w:rPr>
          <w:rFonts w:ascii="Tahoma" w:hAnsi="Tahoma" w:cs="Tahoma"/>
          <w:lang w:val="en-GB"/>
        </w:rPr>
        <w:t xml:space="preserve">, “The Goals of Environmental Legislation”,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553-54.</w:t>
      </w:r>
      <w:r>
        <w:rPr>
          <w:rFonts w:ascii="Tahoma" w:hAnsi="Tahoma" w:cs="Tahoma"/>
          <w:lang w:val="en-GB"/>
        </w:rPr>
        <w:t xml:space="preserve"> </w:t>
      </w:r>
      <w:r w:rsidRPr="004C05D9">
        <w:rPr>
          <w:rFonts w:ascii="Tahoma" w:hAnsi="Tahoma" w:cs="Tahoma"/>
        </w:rPr>
        <w:t>Για τη χρ</w:t>
      </w:r>
      <w:r>
        <w:rPr>
          <w:rFonts w:ascii="Tahoma" w:hAnsi="Tahoma" w:cs="Tahoma"/>
        </w:rPr>
        <w:t>ήση του εργαλείου των ‘‘βέλτιστων διαθέσιμων τεχνολογιών από το δίκαιο του περιβάλλοντος, βλ., supra, Πρώτο Μέρος, Δεύτερο Κεφάλαιο.</w:t>
      </w:r>
    </w:p>
  </w:footnote>
  <w:footnote w:id="99">
    <w:p w:rsidR="00ED6DB8" w:rsidRPr="00DE2C0B" w:rsidRDefault="00ED6DB8" w:rsidP="00ED6DB8">
      <w:pPr>
        <w:pStyle w:val="FootnoteText"/>
        <w:jc w:val="both"/>
        <w:rPr>
          <w:rFonts w:ascii="Tahoma" w:hAnsi="Tahoma" w:cs="Tahoma"/>
          <w:lang w:val="en-GB"/>
        </w:rPr>
      </w:pPr>
      <w:r>
        <w:rPr>
          <w:rStyle w:val="FootnoteReference"/>
        </w:rPr>
        <w:footnoteRef/>
      </w:r>
      <w:r w:rsidRPr="00DE2C0B">
        <w:rPr>
          <w:lang w:val="en-GB"/>
        </w:rPr>
        <w:t xml:space="preserve"> </w:t>
      </w:r>
      <w:r w:rsidRPr="00416D7B">
        <w:rPr>
          <w:rFonts w:ascii="Tahoma" w:hAnsi="Tahoma" w:cs="Tahoma"/>
          <w:i/>
          <w:lang w:val="en-US"/>
        </w:rPr>
        <w:t>D.A. Kysar</w:t>
      </w:r>
      <w:r>
        <w:rPr>
          <w:rFonts w:ascii="Tahoma" w:hAnsi="Tahoma" w:cs="Tahoma"/>
          <w:lang w:val="en-US"/>
        </w:rPr>
        <w:t xml:space="preserve">, ‘‘Risk, Precaution and </w:t>
      </w:r>
      <w:smartTag w:uri="urn:schemas-microsoft-com:office:smarttags" w:element="place">
        <w:r>
          <w:rPr>
            <w:rFonts w:ascii="Tahoma" w:hAnsi="Tahoma" w:cs="Tahoma"/>
            <w:lang w:val="en-US"/>
          </w:rPr>
          <w:t>Opportunity</w:t>
        </w:r>
      </w:smartTag>
      <w:r>
        <w:rPr>
          <w:rFonts w:ascii="Tahoma" w:hAnsi="Tahoma" w:cs="Tahoma"/>
          <w:lang w:val="en-US"/>
        </w:rPr>
        <w:t xml:space="preserve"> Costs’’, Journal of Land Use and Environmental Law, Vol. 22, 2006, σ. </w:t>
      </w:r>
      <w:r w:rsidRPr="00DE2C0B">
        <w:rPr>
          <w:rFonts w:ascii="Tahoma" w:hAnsi="Tahoma" w:cs="Tahoma"/>
          <w:lang w:val="en-GB"/>
        </w:rPr>
        <w:t>24.</w:t>
      </w:r>
    </w:p>
  </w:footnote>
  <w:footnote w:id="100">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i/>
          <w:lang w:val="en-US"/>
        </w:rPr>
        <w:t>W. Wagner</w:t>
      </w:r>
      <w:r w:rsidRPr="009B2E31">
        <w:rPr>
          <w:rFonts w:ascii="Tahoma" w:hAnsi="Tahoma" w:cs="Tahoma"/>
          <w:lang w:val="en-US"/>
        </w:rPr>
        <w:t xml:space="preserve">, “The Triumph of Technology-Based Standards”, University of </w:t>
      </w:r>
      <w:smartTag w:uri="urn:schemas-microsoft-com:office:smarttags" w:element="State">
        <w:smartTag w:uri="urn:schemas-microsoft-com:office:smarttags" w:element="place">
          <w:r w:rsidRPr="009B2E31">
            <w:rPr>
              <w:rFonts w:ascii="Tahoma" w:hAnsi="Tahoma" w:cs="Tahoma"/>
              <w:lang w:val="en-US"/>
            </w:rPr>
            <w:t>Illinois</w:t>
          </w:r>
        </w:smartTag>
      </w:smartTag>
      <w:r w:rsidRPr="009B2E31">
        <w:rPr>
          <w:rFonts w:ascii="Tahoma" w:hAnsi="Tahoma" w:cs="Tahoma"/>
          <w:lang w:val="en-US"/>
        </w:rPr>
        <w:t xml:space="preserve"> Law Review,</w:t>
      </w:r>
      <w:r>
        <w:rPr>
          <w:rFonts w:ascii="Tahoma" w:hAnsi="Tahoma" w:cs="Tahoma"/>
          <w:lang w:val="en-US"/>
        </w:rPr>
        <w:t xml:space="preserve"> Vol.</w:t>
      </w:r>
      <w:r w:rsidRPr="009B2E31">
        <w:rPr>
          <w:rFonts w:ascii="Tahoma" w:hAnsi="Tahoma" w:cs="Tahoma"/>
          <w:lang w:val="en-US"/>
        </w:rPr>
        <w:t xml:space="preserve"> 2000, </w:t>
      </w:r>
      <w:r w:rsidRPr="009B2E31">
        <w:rPr>
          <w:rFonts w:ascii="Tahoma" w:hAnsi="Tahoma" w:cs="Tahoma"/>
        </w:rPr>
        <w:t>σ</w:t>
      </w:r>
      <w:r w:rsidRPr="009B2E31">
        <w:rPr>
          <w:rFonts w:ascii="Tahoma" w:hAnsi="Tahoma" w:cs="Tahoma"/>
          <w:lang w:val="en-GB"/>
        </w:rPr>
        <w:t xml:space="preserve">. 83 </w:t>
      </w:r>
      <w:r w:rsidRPr="009B2E31">
        <w:rPr>
          <w:rFonts w:ascii="Tahoma" w:hAnsi="Tahoma" w:cs="Tahoma"/>
        </w:rPr>
        <w:t>επ</w:t>
      </w:r>
      <w:r w:rsidRPr="009B2E31">
        <w:rPr>
          <w:rFonts w:ascii="Tahoma" w:hAnsi="Tahoma" w:cs="Tahoma"/>
          <w:lang w:val="en-GB"/>
        </w:rPr>
        <w:t>.</w:t>
      </w:r>
    </w:p>
  </w:footnote>
  <w:footnote w:id="101">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i/>
          <w:lang w:val="en-GB"/>
        </w:rPr>
        <w:t>C.H. Schroeder, R. Steinzor</w:t>
      </w:r>
      <w:r w:rsidRPr="009B2E31">
        <w:rPr>
          <w:rFonts w:ascii="Tahoma" w:hAnsi="Tahoma" w:cs="Tahoma"/>
          <w:lang w:val="en-GB"/>
        </w:rPr>
        <w:t xml:space="preserve"> (eds), A New Progressive Agenda for Public Health and the Environment,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65. </w:t>
      </w:r>
      <w:r w:rsidRPr="00A762C9">
        <w:rPr>
          <w:rFonts w:ascii="Tahoma" w:hAnsi="Tahoma" w:cs="Tahoma"/>
          <w:i/>
          <w:lang w:val="en-GB"/>
        </w:rPr>
        <w:t>R.B. Stewart</w:t>
      </w:r>
      <w:r w:rsidRPr="009B2E31">
        <w:rPr>
          <w:rFonts w:ascii="Tahoma" w:hAnsi="Tahoma" w:cs="Tahoma"/>
          <w:lang w:val="en-GB"/>
        </w:rPr>
        <w:t xml:space="preserve">, “Environmental Regulatory Decision making Under Uncertainty”, in: </w:t>
      </w:r>
      <w:r w:rsidRPr="00A762C9">
        <w:rPr>
          <w:rFonts w:ascii="Tahoma" w:hAnsi="Tahoma" w:cs="Tahoma"/>
          <w:i/>
          <w:lang w:val="en-GB"/>
        </w:rPr>
        <w:t>T. Swanson</w:t>
      </w:r>
      <w:r w:rsidRPr="009B2E31">
        <w:rPr>
          <w:rFonts w:ascii="Tahoma" w:hAnsi="Tahoma" w:cs="Tahoma"/>
          <w:lang w:val="en-GB"/>
        </w:rPr>
        <w:t xml:space="preserve"> (ed.), Research in Law and Ec</w:t>
      </w:r>
      <w:r>
        <w:rPr>
          <w:rFonts w:ascii="Tahoma" w:hAnsi="Tahoma" w:cs="Tahoma"/>
          <w:lang w:val="en-GB"/>
        </w:rPr>
        <w:t>onomics, Vol. 20, 2002,</w:t>
      </w:r>
      <w:r w:rsidRPr="009B2E31">
        <w:rPr>
          <w:rFonts w:ascii="Tahoma" w:hAnsi="Tahoma" w:cs="Tahoma"/>
          <w:lang w:val="en-GB"/>
        </w:rPr>
        <w:t xml:space="preserve"> σ. 78.</w:t>
      </w:r>
    </w:p>
  </w:footnote>
  <w:footnote w:id="102">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i/>
          <w:lang w:val="en-US"/>
        </w:rPr>
        <w:t>W. Wagner</w:t>
      </w:r>
      <w:r w:rsidRPr="009B2E31">
        <w:rPr>
          <w:rFonts w:ascii="Tahoma" w:hAnsi="Tahoma" w:cs="Tahoma"/>
          <w:lang w:val="en-US"/>
        </w:rPr>
        <w:t>, “The Triumph of Technology-Based Standards”,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 </w:t>
      </w:r>
    </w:p>
  </w:footnote>
  <w:footnote w:id="103">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i/>
          <w:lang w:val="en-US"/>
        </w:rPr>
        <w:t>J.B. Wiener</w:t>
      </w:r>
      <w:r w:rsidRPr="009B2E31">
        <w:rPr>
          <w:rFonts w:ascii="Tahoma" w:hAnsi="Tahoma" w:cs="Tahoma"/>
          <w:lang w:val="en-US"/>
        </w:rPr>
        <w:t xml:space="preserve">, “Convergence, Divergence, and Complexity in US and European Risk Regulation”, in: </w:t>
      </w:r>
      <w:r w:rsidRPr="00A762C9">
        <w:rPr>
          <w:rFonts w:ascii="Tahoma" w:hAnsi="Tahoma" w:cs="Tahoma"/>
          <w:i/>
          <w:lang w:val="en-US"/>
        </w:rPr>
        <w:t>N. Vig, M. Faure</w:t>
      </w:r>
      <w:r w:rsidRPr="009B2E31">
        <w:rPr>
          <w:rFonts w:ascii="Tahoma" w:hAnsi="Tahoma" w:cs="Tahoma"/>
          <w:lang w:val="en-US"/>
        </w:rPr>
        <w:t xml:space="preserve"> (eds), Green Giants?,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96.</w:t>
      </w:r>
      <w:r w:rsidRPr="009B2E31">
        <w:rPr>
          <w:rFonts w:ascii="Tahoma" w:hAnsi="Tahoma" w:cs="Tahoma"/>
          <w:lang w:val="en-US"/>
        </w:rPr>
        <w:t xml:space="preserve"> </w:t>
      </w:r>
    </w:p>
  </w:footnote>
  <w:footnote w:id="104">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Αναλυτικά, βλ., supra, Μέρος Πρώτο, Δεύτερο Κεφάλαιο.</w:t>
      </w:r>
    </w:p>
  </w:footnote>
  <w:footnote w:id="105">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A762C9">
        <w:rPr>
          <w:rFonts w:ascii="Tahoma" w:hAnsi="Tahoma" w:cs="Tahoma"/>
          <w:bCs/>
          <w:i/>
          <w:lang w:val="en-US"/>
        </w:rPr>
        <w:t>V.R. Walker</w:t>
      </w:r>
      <w:r w:rsidRPr="009B2E31">
        <w:rPr>
          <w:rFonts w:ascii="Tahoma" w:hAnsi="Tahoma" w:cs="Tahoma"/>
          <w:lang w:val="en-US"/>
        </w:rPr>
        <w:t xml:space="preserve">, “Some Dangers of Taking Precautions Without Adopting the Precautionary Principle: A Critique of Food Safety Regulation in the </w:t>
      </w:r>
      <w:smartTag w:uri="urn:schemas-microsoft-com:office:smarttags" w:element="country-region">
        <w:smartTag w:uri="urn:schemas-microsoft-com:office:smarttags" w:element="place">
          <w:r w:rsidRPr="009B2E31">
            <w:rPr>
              <w:rFonts w:ascii="Tahoma" w:hAnsi="Tahoma" w:cs="Tahoma"/>
              <w:lang w:val="en-US"/>
            </w:rPr>
            <w:t>United States</w:t>
          </w:r>
        </w:smartTag>
      </w:smartTag>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10040-10047</w:t>
      </w:r>
    </w:p>
  </w:footnote>
  <w:footnote w:id="106">
    <w:p w:rsidR="00ED6DB8" w:rsidRPr="009B2E31" w:rsidRDefault="00ED6DB8" w:rsidP="00ED6DB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bCs/>
          <w:lang w:val="en-GB"/>
        </w:rPr>
        <w:t xml:space="preserve"> </w:t>
      </w:r>
      <w:r w:rsidRPr="00A762C9">
        <w:rPr>
          <w:rFonts w:ascii="Tahoma" w:hAnsi="Tahoma" w:cs="Tahoma"/>
          <w:bCs/>
          <w:i/>
          <w:lang w:val="en-GB"/>
        </w:rPr>
        <w:t>R.V. Percival</w:t>
      </w:r>
      <w:r w:rsidRPr="009B2E31">
        <w:rPr>
          <w:rFonts w:ascii="Tahoma" w:hAnsi="Tahoma" w:cs="Tahoma"/>
          <w:bCs/>
          <w:lang w:val="en-GB"/>
        </w:rPr>
        <w:t>, “Who’s Afraid of the Precautionary Principle?”, Pace Environmental Law R</w:t>
      </w:r>
      <w:r>
        <w:rPr>
          <w:rFonts w:ascii="Tahoma" w:hAnsi="Tahoma" w:cs="Tahoma"/>
          <w:bCs/>
          <w:lang w:val="en-GB"/>
        </w:rPr>
        <w:t>eview, Vol. 23(1), 2006,</w:t>
      </w:r>
      <w:r w:rsidRPr="009B2E31">
        <w:rPr>
          <w:rFonts w:ascii="Tahoma" w:hAnsi="Tahoma" w:cs="Tahoma"/>
          <w:bCs/>
          <w:lang w:val="en-GB"/>
        </w:rPr>
        <w:t xml:space="preserve"> σ. 24. </w:t>
      </w:r>
      <w:r w:rsidRPr="00A762C9">
        <w:rPr>
          <w:rFonts w:ascii="Tahoma" w:hAnsi="Tahoma" w:cs="Tahoma"/>
          <w:bCs/>
          <w:i/>
          <w:lang w:val="en-US"/>
        </w:rPr>
        <w:t>J.S. Applegate</w:t>
      </w:r>
      <w:r w:rsidRPr="009B2E31">
        <w:rPr>
          <w:rFonts w:ascii="Tahoma" w:hAnsi="Tahoma" w:cs="Tahoma"/>
          <w:lang w:val="en-US"/>
        </w:rPr>
        <w:t xml:space="preserve">, “The Precautionary Preference: An American Perspective on the Precautionary Principle”,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w:t>
      </w:r>
      <w:r>
        <w:rPr>
          <w:rFonts w:ascii="Tahoma" w:hAnsi="Tahoma" w:cs="Tahoma"/>
          <w:lang w:val="en-US"/>
        </w:rPr>
        <w:t xml:space="preserve"> </w:t>
      </w:r>
      <w:r w:rsidRPr="009B2E31">
        <w:rPr>
          <w:rFonts w:ascii="Tahoma" w:hAnsi="Tahoma" w:cs="Tahoma"/>
          <w:lang w:val="en-US"/>
        </w:rPr>
        <w:t xml:space="preserve">438. </w:t>
      </w:r>
    </w:p>
  </w:footnote>
  <w:footnote w:id="107">
    <w:p w:rsidR="00ED6DB8" w:rsidRPr="009B2E31"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bCs/>
          <w:i/>
          <w:lang w:val="en-US"/>
        </w:rPr>
        <w:t>J.S. Applegate</w:t>
      </w:r>
      <w:r w:rsidRPr="009B2E31">
        <w:rPr>
          <w:rFonts w:ascii="Tahoma" w:hAnsi="Tahoma" w:cs="Tahoma"/>
          <w:bCs/>
          <w:lang w:val="en-GB"/>
        </w:rPr>
        <w:t xml:space="preserve">, </w:t>
      </w:r>
      <w:r w:rsidRPr="009B2E31">
        <w:rPr>
          <w:rFonts w:ascii="Tahoma" w:hAnsi="Tahoma" w:cs="Tahoma"/>
          <w:bCs/>
        </w:rPr>
        <w:t>ό</w:t>
      </w:r>
      <w:r w:rsidRPr="009B2E31">
        <w:rPr>
          <w:rFonts w:ascii="Tahoma" w:hAnsi="Tahoma" w:cs="Tahoma"/>
          <w:bCs/>
          <w:lang w:val="en-GB"/>
        </w:rPr>
        <w:t>.</w:t>
      </w:r>
      <w:r w:rsidRPr="009B2E31">
        <w:rPr>
          <w:rFonts w:ascii="Tahoma" w:hAnsi="Tahoma" w:cs="Tahoma"/>
          <w:bCs/>
        </w:rPr>
        <w:t>π</w:t>
      </w:r>
      <w:r w:rsidRPr="009B2E31">
        <w:rPr>
          <w:rFonts w:ascii="Tahoma" w:hAnsi="Tahoma" w:cs="Tahoma"/>
          <w:bCs/>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439. </w:t>
      </w:r>
      <w:r w:rsidRPr="009B2E31">
        <w:rPr>
          <w:rFonts w:ascii="Tahoma" w:hAnsi="Tahoma" w:cs="Tahoma"/>
        </w:rPr>
        <w:t xml:space="preserve">Αναλυτικότερα για τα χαρακτηριστικά της αρχής της προφύλαξης στο δίκαιο των ΗΠΑ, βλ., </w:t>
      </w:r>
      <w:r w:rsidRPr="00A762C9">
        <w:rPr>
          <w:rFonts w:ascii="Tahoma" w:hAnsi="Tahoma" w:cs="Tahoma"/>
          <w:i/>
        </w:rPr>
        <w:t>Γ. Μπάλια</w:t>
      </w:r>
      <w:r w:rsidRPr="009B2E31">
        <w:rPr>
          <w:rFonts w:ascii="Tahoma" w:hAnsi="Tahoma" w:cs="Tahoma"/>
        </w:rPr>
        <w:t>, Η αρχή της προφύλαξης στο διεθνές, κοινοτικό και συγκριτικό δίκαιο, ό.π., σ. 380 επ.</w:t>
      </w:r>
    </w:p>
  </w:footnote>
  <w:footnote w:id="108">
    <w:p w:rsidR="00ED6DB8" w:rsidRPr="009B2E31" w:rsidRDefault="00ED6DB8" w:rsidP="00ED6DB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762C9">
        <w:rPr>
          <w:rFonts w:ascii="Tahoma" w:hAnsi="Tahoma" w:cs="Tahoma"/>
          <w:bCs/>
          <w:i/>
          <w:lang w:val="en-US"/>
        </w:rPr>
        <w:t>W. E. Wagner</w:t>
      </w:r>
      <w:r w:rsidRPr="009B2E31">
        <w:rPr>
          <w:rFonts w:ascii="Tahoma" w:hAnsi="Tahoma" w:cs="Tahoma"/>
          <w:lang w:val="en-US"/>
        </w:rPr>
        <w:t xml:space="preserve">, “Congress, Science and Environmental Policy”, </w:t>
      </w:r>
      <w:r w:rsidRPr="009B2E31">
        <w:rPr>
          <w:rFonts w:ascii="Tahoma" w:hAnsi="Tahoma" w:cs="Tahoma"/>
        </w:rPr>
        <w:t>ό</w:t>
      </w:r>
      <w:r w:rsidRPr="009B2E31">
        <w:rPr>
          <w:rFonts w:ascii="Tahoma" w:hAnsi="Tahoma" w:cs="Tahoma"/>
          <w:lang w:val="en-US"/>
        </w:rPr>
        <w:t>.</w:t>
      </w:r>
      <w:r w:rsidRPr="009B2E31">
        <w:rPr>
          <w:rFonts w:ascii="Tahoma" w:hAnsi="Tahoma" w:cs="Tahoma"/>
        </w:rPr>
        <w:t>π</w:t>
      </w:r>
      <w:r w:rsidRPr="009B2E31">
        <w:rPr>
          <w:rFonts w:ascii="Tahoma" w:hAnsi="Tahoma" w:cs="Tahoma"/>
          <w:lang w:val="en-US"/>
        </w:rPr>
        <w:t>.</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 203-4.</w:t>
      </w:r>
    </w:p>
  </w:footnote>
  <w:footnote w:id="109">
    <w:p w:rsidR="00ED6DB8" w:rsidRPr="001C69A4" w:rsidRDefault="00ED6DB8" w:rsidP="00ED6DB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Αναφορά γίνεται, κυρίως, στην οδηγία 96/61/ΕΚ για την ολοκληρωμένη πρόληψη, ό.π. Στην οδηγία 2000/60/ΕΚ σχετικά με την πολιτική των υδάτων στην Ε.Ε., περιλαμβάνεται ο συνδυασμός των δύο κανονιστικών προσεγγίσεων που απαντώνται στο δίκαιο των ΗΠΑ. Συγκεκριμένα στο άρθρο 10(2) της οδηγίας αναφέρεται ότι τα κράτη μέλη εξασφαλίζουν την καθιέρωση ή/και εφαρμογή: α) των ελέγχων εκπομπών βάσει των καλύτερων διαθέσιμων τεχνικών ή β) των σχετικών οριακών τιμών εκπομπής ή γ) στην περίπτωση διάχυτων επιπτώσεων, των ελέγχων, συμπεριλαμβανομένων, κατά περίπτωση, των βέλτιστων περιβαλλοντικών πρακτικών.</w:t>
      </w:r>
      <w:r>
        <w:rPr>
          <w:rFonts w:ascii="Tahoma" w:hAnsi="Tahoma" w:cs="Tahoma"/>
        </w:rPr>
        <w:t xml:space="preserve"> Περιλαμβάνεται επίσης στο άρθρο 5(1) της Οδηγίας 2006/12/ΕΚ περί στερεών αποβλήτων, ΕΕ L 114 thw 27.4.2006, s. </w:t>
      </w:r>
      <w:r w:rsidRPr="001C69A4">
        <w:rPr>
          <w:rFonts w:ascii="Tahoma" w:hAnsi="Tahoma" w:cs="Tahoma"/>
        </w:rPr>
        <w:t>9.</w:t>
      </w:r>
    </w:p>
  </w:footnote>
  <w:footnote w:id="110">
    <w:p w:rsidR="00ED6DB8" w:rsidRPr="00D14B75" w:rsidRDefault="00ED6DB8" w:rsidP="00ED6DB8">
      <w:pPr>
        <w:pStyle w:val="FootnoteText"/>
        <w:jc w:val="both"/>
        <w:rPr>
          <w:rFonts w:ascii="Tahoma" w:hAnsi="Tahoma" w:cs="Tahoma"/>
          <w:lang w:val="en-GB"/>
        </w:rPr>
      </w:pPr>
      <w:r>
        <w:rPr>
          <w:rStyle w:val="FootnoteReference"/>
        </w:rPr>
        <w:footnoteRef/>
      </w:r>
      <w:r w:rsidRPr="0064476C">
        <w:t xml:space="preserve"> </w:t>
      </w:r>
      <w:r>
        <w:rPr>
          <w:rFonts w:ascii="Tahoma" w:hAnsi="Tahoma" w:cs="Tahoma"/>
        </w:rPr>
        <w:t>Υπόθεση C-364/03 Επιτροπή κατά Ελλάδος [2005] Συλλ Ι-6159, παρ. 31 και 40. Αναλυτικότερα</w:t>
      </w:r>
      <w:r w:rsidRPr="00D14B75">
        <w:rPr>
          <w:rFonts w:ascii="Tahoma" w:hAnsi="Tahoma" w:cs="Tahoma"/>
          <w:lang w:val="en-GB"/>
        </w:rPr>
        <w:t xml:space="preserve">, </w:t>
      </w:r>
      <w:r>
        <w:rPr>
          <w:rFonts w:ascii="Tahoma" w:hAnsi="Tahoma" w:cs="Tahoma"/>
        </w:rPr>
        <w:t>βλ</w:t>
      </w:r>
      <w:r w:rsidRPr="00D14B75">
        <w:rPr>
          <w:rFonts w:ascii="Tahoma" w:hAnsi="Tahoma" w:cs="Tahoma"/>
          <w:lang w:val="en-GB"/>
        </w:rPr>
        <w:t xml:space="preserve">., </w:t>
      </w:r>
      <w:r>
        <w:rPr>
          <w:rFonts w:ascii="Tahoma" w:hAnsi="Tahoma" w:cs="Tahoma"/>
          <w:i/>
          <w:lang w:val="en-US"/>
        </w:rPr>
        <w:t>M. Wilde</w:t>
      </w:r>
      <w:r>
        <w:rPr>
          <w:rFonts w:ascii="Tahoma" w:hAnsi="Tahoma" w:cs="Tahoma"/>
          <w:lang w:val="en-US"/>
        </w:rPr>
        <w:t xml:space="preserve">, “Best Available Techniques (BAT) and Coal-fired Power Stations: Can the Energy Gap be Plugged Withowt Increasing Emissions?”, Journal of Environmental Law, Vol. 20(1), 2008, </w:t>
      </w:r>
      <w:r>
        <w:rPr>
          <w:rFonts w:ascii="Tahoma" w:hAnsi="Tahoma" w:cs="Tahoma"/>
        </w:rPr>
        <w:t>σ</w:t>
      </w:r>
      <w:r w:rsidRPr="00D14B75">
        <w:rPr>
          <w:rFonts w:ascii="Tahoma" w:hAnsi="Tahoma" w:cs="Tahoma"/>
          <w:lang w:val="en-GB"/>
        </w:rPr>
        <w:t xml:space="preserve">. 87 </w:t>
      </w:r>
      <w:r>
        <w:rPr>
          <w:rFonts w:ascii="Tahoma" w:hAnsi="Tahoma" w:cs="Tahoma"/>
        </w:rPr>
        <w:t>επ</w:t>
      </w:r>
      <w:r w:rsidRPr="00D14B75">
        <w:rPr>
          <w:rFonts w:ascii="Tahoma" w:hAnsi="Tahoma" w:cs="Tahoma"/>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2C3B"/>
    <w:multiLevelType w:val="hybridMultilevel"/>
    <w:tmpl w:val="FBBAD512"/>
    <w:lvl w:ilvl="0" w:tplc="65F033AE">
      <w:start w:val="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262E85"/>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5EAE103F"/>
    <w:multiLevelType w:val="hybridMultilevel"/>
    <w:tmpl w:val="29308D0C"/>
    <w:lvl w:ilvl="0" w:tplc="6C44F3EC">
      <w:start w:val="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1012E3"/>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A9D3255"/>
    <w:multiLevelType w:val="multilevel"/>
    <w:tmpl w:val="B69C3780"/>
    <w:lvl w:ilvl="0">
      <w:start w:val="2"/>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7C93764D"/>
    <w:multiLevelType w:val="hybridMultilevel"/>
    <w:tmpl w:val="B69C3780"/>
    <w:lvl w:ilvl="0" w:tplc="0846E654">
      <w:start w:val="2"/>
      <w:numFmt w:val="decimal"/>
      <w:lvlText w:val="%1."/>
      <w:lvlJc w:val="left"/>
      <w:pPr>
        <w:tabs>
          <w:tab w:val="num" w:pos="1260"/>
        </w:tabs>
        <w:ind w:left="1260" w:hanging="360"/>
      </w:pPr>
      <w:rPr>
        <w:rFonts w:hint="default"/>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B8"/>
    <w:rsid w:val="00122988"/>
    <w:rsid w:val="002973AC"/>
    <w:rsid w:val="006A0E0D"/>
    <w:rsid w:val="006F653C"/>
    <w:rsid w:val="007927CB"/>
    <w:rsid w:val="008F1E68"/>
    <w:rsid w:val="00CC07C4"/>
    <w:rsid w:val="00CD27D5"/>
    <w:rsid w:val="00DE6E96"/>
    <w:rsid w:val="00E964C6"/>
    <w:rsid w:val="00ED6DB8"/>
    <w:rsid w:val="00EE2E66"/>
    <w:rsid w:val="00F45D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B8"/>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ED6DB8"/>
    <w:pPr>
      <w:keepNext/>
      <w:spacing w:line="360" w:lineRule="auto"/>
      <w:jc w:val="center"/>
      <w:outlineLvl w:val="0"/>
    </w:pPr>
    <w:rPr>
      <w:u w:val="single"/>
    </w:rPr>
  </w:style>
  <w:style w:type="paragraph" w:styleId="Heading2">
    <w:name w:val="heading 2"/>
    <w:basedOn w:val="Normal"/>
    <w:next w:val="Normal"/>
    <w:link w:val="Heading2Char"/>
    <w:qFormat/>
    <w:rsid w:val="00ED6DB8"/>
    <w:pPr>
      <w:keepNext/>
      <w:spacing w:line="360" w:lineRule="auto"/>
      <w:jc w:val="center"/>
      <w:outlineLvl w:val="1"/>
    </w:pPr>
    <w:rPr>
      <w:b/>
      <w:u w:val="single"/>
    </w:rPr>
  </w:style>
  <w:style w:type="paragraph" w:styleId="Heading3">
    <w:name w:val="heading 3"/>
    <w:basedOn w:val="Normal"/>
    <w:next w:val="Normal"/>
    <w:link w:val="Heading3Char"/>
    <w:qFormat/>
    <w:rsid w:val="00ED6DB8"/>
    <w:pPr>
      <w:keepNext/>
      <w:spacing w:line="360" w:lineRule="auto"/>
      <w:jc w:val="center"/>
      <w:outlineLvl w:val="2"/>
    </w:pPr>
    <w:rPr>
      <w:b/>
    </w:rPr>
  </w:style>
  <w:style w:type="paragraph" w:styleId="Heading4">
    <w:name w:val="heading 4"/>
    <w:basedOn w:val="Normal"/>
    <w:next w:val="Normal"/>
    <w:link w:val="Heading4Char"/>
    <w:qFormat/>
    <w:rsid w:val="00ED6DB8"/>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ED6DB8"/>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DB8"/>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ED6DB8"/>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ED6DB8"/>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ED6DB8"/>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ED6DB8"/>
    <w:rPr>
      <w:rFonts w:ascii="Arial" w:eastAsia="Times New Roman" w:hAnsi="Arial" w:cs="Times New Roman"/>
      <w:sz w:val="24"/>
      <w:szCs w:val="20"/>
      <w:u w:val="single"/>
      <w:lang w:eastAsia="el-GR" w:bidi="ar-SA"/>
    </w:rPr>
  </w:style>
  <w:style w:type="paragraph" w:styleId="Footer">
    <w:name w:val="footer"/>
    <w:basedOn w:val="Normal"/>
    <w:link w:val="FooterChar"/>
    <w:uiPriority w:val="99"/>
    <w:rsid w:val="00ED6DB8"/>
    <w:pPr>
      <w:tabs>
        <w:tab w:val="center" w:pos="4153"/>
        <w:tab w:val="right" w:pos="8306"/>
      </w:tabs>
    </w:pPr>
  </w:style>
  <w:style w:type="character" w:customStyle="1" w:styleId="FooterChar">
    <w:name w:val="Footer Char"/>
    <w:basedOn w:val="DefaultParagraphFont"/>
    <w:link w:val="Footer"/>
    <w:uiPriority w:val="99"/>
    <w:rsid w:val="00ED6DB8"/>
    <w:rPr>
      <w:rFonts w:ascii="Arial" w:eastAsia="Times New Roman" w:hAnsi="Arial" w:cs="Times New Roman"/>
      <w:sz w:val="24"/>
      <w:szCs w:val="20"/>
      <w:lang w:eastAsia="el-GR" w:bidi="ar-SA"/>
    </w:rPr>
  </w:style>
  <w:style w:type="character" w:styleId="PageNumber">
    <w:name w:val="page number"/>
    <w:basedOn w:val="DefaultParagraphFont"/>
    <w:rsid w:val="00ED6DB8"/>
  </w:style>
  <w:style w:type="paragraph" w:styleId="FootnoteText">
    <w:name w:val="footnote text"/>
    <w:basedOn w:val="Normal"/>
    <w:link w:val="FootnoteTextChar"/>
    <w:semiHidden/>
    <w:rsid w:val="00ED6DB8"/>
    <w:rPr>
      <w:sz w:val="20"/>
    </w:rPr>
  </w:style>
  <w:style w:type="character" w:customStyle="1" w:styleId="FootnoteTextChar">
    <w:name w:val="Footnote Text Char"/>
    <w:basedOn w:val="DefaultParagraphFont"/>
    <w:link w:val="FootnoteText"/>
    <w:semiHidden/>
    <w:rsid w:val="00ED6DB8"/>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ED6DB8"/>
    <w:rPr>
      <w:vertAlign w:val="superscript"/>
    </w:rPr>
  </w:style>
  <w:style w:type="paragraph" w:styleId="BodyText">
    <w:name w:val="Body Text"/>
    <w:basedOn w:val="Normal"/>
    <w:link w:val="BodyTextChar"/>
    <w:rsid w:val="00ED6DB8"/>
    <w:pPr>
      <w:spacing w:line="360" w:lineRule="auto"/>
      <w:jc w:val="both"/>
    </w:pPr>
  </w:style>
  <w:style w:type="character" w:customStyle="1" w:styleId="BodyTextChar">
    <w:name w:val="Body Text Char"/>
    <w:basedOn w:val="DefaultParagraphFont"/>
    <w:link w:val="BodyText"/>
    <w:rsid w:val="00ED6DB8"/>
    <w:rPr>
      <w:rFonts w:ascii="Arial" w:eastAsia="Times New Roman" w:hAnsi="Arial" w:cs="Times New Roman"/>
      <w:sz w:val="24"/>
      <w:szCs w:val="20"/>
      <w:lang w:eastAsia="el-GR" w:bidi="ar-SA"/>
    </w:rPr>
  </w:style>
  <w:style w:type="paragraph" w:styleId="BodyText2">
    <w:name w:val="Body Text 2"/>
    <w:basedOn w:val="Normal"/>
    <w:link w:val="BodyText2Char"/>
    <w:rsid w:val="00ED6DB8"/>
    <w:pPr>
      <w:spacing w:line="360" w:lineRule="auto"/>
      <w:ind w:left="360"/>
    </w:pPr>
  </w:style>
  <w:style w:type="character" w:customStyle="1" w:styleId="BodyText2Char">
    <w:name w:val="Body Text 2 Char"/>
    <w:basedOn w:val="DefaultParagraphFont"/>
    <w:link w:val="BodyText2"/>
    <w:rsid w:val="00ED6DB8"/>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ED6DB8"/>
    <w:pPr>
      <w:pBdr>
        <w:left w:val="single" w:sz="18" w:space="1" w:color="auto"/>
      </w:pBdr>
    </w:pPr>
    <w:rPr>
      <w:sz w:val="20"/>
    </w:rPr>
  </w:style>
  <w:style w:type="paragraph" w:customStyle="1" w:styleId="Aeoyuoc-Aiooonioceaoaeaa">
    <w:name w:val="Aeoy?uoc- Aio?oonioc eaoae?aa"/>
    <w:basedOn w:val="Normal"/>
    <w:next w:val="Aeoyuoc-AunioEYiaCianiicia"/>
    <w:rsid w:val="00ED6DB8"/>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ED6DB8"/>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ED6DB8"/>
    <w:pPr>
      <w:pBdr>
        <w:left w:val="single" w:sz="18" w:space="1" w:color="auto"/>
      </w:pBdr>
    </w:pPr>
    <w:rPr>
      <w:sz w:val="20"/>
    </w:rPr>
  </w:style>
  <w:style w:type="paragraph" w:styleId="Title">
    <w:name w:val="Title"/>
    <w:basedOn w:val="Normal"/>
    <w:link w:val="TitleChar"/>
    <w:qFormat/>
    <w:rsid w:val="00ED6DB8"/>
    <w:pPr>
      <w:spacing w:line="360" w:lineRule="auto"/>
      <w:jc w:val="center"/>
    </w:pPr>
    <w:rPr>
      <w:b/>
    </w:rPr>
  </w:style>
  <w:style w:type="character" w:customStyle="1" w:styleId="TitleChar">
    <w:name w:val="Title Char"/>
    <w:basedOn w:val="DefaultParagraphFont"/>
    <w:link w:val="Title"/>
    <w:rsid w:val="00ED6DB8"/>
    <w:rPr>
      <w:rFonts w:ascii="Arial" w:eastAsia="Times New Roman" w:hAnsi="Arial" w:cs="Times New Roman"/>
      <w:b/>
      <w:sz w:val="24"/>
      <w:szCs w:val="20"/>
      <w:lang w:eastAsia="el-GR" w:bidi="ar-SA"/>
    </w:rPr>
  </w:style>
  <w:style w:type="character" w:styleId="LineNumber">
    <w:name w:val="line number"/>
    <w:basedOn w:val="DefaultParagraphFont"/>
    <w:rsid w:val="00ED6DB8"/>
    <w:rPr>
      <w:rFonts w:ascii="Times New Roman" w:hAnsi="Times New Roman"/>
    </w:rPr>
  </w:style>
  <w:style w:type="character" w:styleId="EndnoteReference">
    <w:name w:val="endnote reference"/>
    <w:basedOn w:val="DefaultParagraphFont"/>
    <w:semiHidden/>
    <w:rsid w:val="00ED6DB8"/>
    <w:rPr>
      <w:rFonts w:ascii="Times New Roman" w:hAnsi="Times New Roman"/>
      <w:vertAlign w:val="superscript"/>
    </w:rPr>
  </w:style>
  <w:style w:type="character" w:styleId="CommentReference">
    <w:name w:val="annotation reference"/>
    <w:basedOn w:val="DefaultParagraphFont"/>
    <w:semiHidden/>
    <w:rsid w:val="00ED6DB8"/>
    <w:rPr>
      <w:rFonts w:ascii="Times New Roman" w:hAnsi="Times New Roman"/>
      <w:sz w:val="16"/>
    </w:rPr>
  </w:style>
  <w:style w:type="paragraph" w:styleId="Subtitle">
    <w:name w:val="Subtitle"/>
    <w:basedOn w:val="Normal"/>
    <w:link w:val="SubtitleChar"/>
    <w:qFormat/>
    <w:rsid w:val="00ED6DB8"/>
    <w:pPr>
      <w:spacing w:after="60"/>
      <w:jc w:val="center"/>
    </w:pPr>
  </w:style>
  <w:style w:type="character" w:customStyle="1" w:styleId="SubtitleChar">
    <w:name w:val="Subtitle Char"/>
    <w:basedOn w:val="DefaultParagraphFont"/>
    <w:link w:val="Subtitle"/>
    <w:rsid w:val="00ED6DB8"/>
    <w:rPr>
      <w:rFonts w:ascii="Arial" w:eastAsia="Times New Roman" w:hAnsi="Arial" w:cs="Times New Roman"/>
      <w:sz w:val="24"/>
      <w:szCs w:val="20"/>
      <w:lang w:eastAsia="el-GR" w:bidi="ar-SA"/>
    </w:rPr>
  </w:style>
  <w:style w:type="character" w:styleId="Hyperlink">
    <w:name w:val="Hyperlink"/>
    <w:basedOn w:val="DefaultParagraphFont"/>
    <w:rsid w:val="00ED6DB8"/>
    <w:rPr>
      <w:color w:val="0000FF"/>
      <w:u w:val="single"/>
    </w:rPr>
  </w:style>
  <w:style w:type="character" w:styleId="FollowedHyperlink">
    <w:name w:val="FollowedHyperlink"/>
    <w:basedOn w:val="DefaultParagraphFont"/>
    <w:rsid w:val="00ED6DB8"/>
    <w:rPr>
      <w:color w:val="800080"/>
      <w:u w:val="single"/>
    </w:rPr>
  </w:style>
  <w:style w:type="paragraph" w:customStyle="1" w:styleId="BodyText21">
    <w:name w:val="Body Text 21"/>
    <w:basedOn w:val="Normal"/>
    <w:rsid w:val="00ED6DB8"/>
    <w:pPr>
      <w:spacing w:line="360" w:lineRule="auto"/>
      <w:ind w:left="360"/>
    </w:pPr>
  </w:style>
  <w:style w:type="paragraph" w:styleId="BodyTextIndent2">
    <w:name w:val="Body Text Indent 2"/>
    <w:basedOn w:val="Normal"/>
    <w:link w:val="BodyTextIndent2Char"/>
    <w:rsid w:val="00ED6DB8"/>
    <w:pPr>
      <w:spacing w:after="120" w:line="480" w:lineRule="auto"/>
      <w:ind w:left="283"/>
    </w:pPr>
  </w:style>
  <w:style w:type="character" w:customStyle="1" w:styleId="BodyTextIndent2Char">
    <w:name w:val="Body Text Indent 2 Char"/>
    <w:basedOn w:val="DefaultParagraphFont"/>
    <w:link w:val="BodyTextIndent2"/>
    <w:rsid w:val="00ED6DB8"/>
    <w:rPr>
      <w:rFonts w:ascii="Arial" w:eastAsia="Times New Roman" w:hAnsi="Arial" w:cs="Times New Roman"/>
      <w:sz w:val="24"/>
      <w:szCs w:val="20"/>
      <w:lang w:eastAsia="el-GR" w:bidi="ar-SA"/>
    </w:rPr>
  </w:style>
  <w:style w:type="paragraph" w:styleId="Header">
    <w:name w:val="header"/>
    <w:basedOn w:val="Normal"/>
    <w:link w:val="HeaderChar"/>
    <w:rsid w:val="00ED6DB8"/>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ED6DB8"/>
    <w:rPr>
      <w:rFonts w:ascii="Times New Roman" w:eastAsia="Times New Roman" w:hAnsi="Times New Roman" w:cs="Times New Roman"/>
      <w:sz w:val="24"/>
      <w:szCs w:val="24"/>
      <w:lang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B8"/>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ED6DB8"/>
    <w:pPr>
      <w:keepNext/>
      <w:spacing w:line="360" w:lineRule="auto"/>
      <w:jc w:val="center"/>
      <w:outlineLvl w:val="0"/>
    </w:pPr>
    <w:rPr>
      <w:u w:val="single"/>
    </w:rPr>
  </w:style>
  <w:style w:type="paragraph" w:styleId="Heading2">
    <w:name w:val="heading 2"/>
    <w:basedOn w:val="Normal"/>
    <w:next w:val="Normal"/>
    <w:link w:val="Heading2Char"/>
    <w:qFormat/>
    <w:rsid w:val="00ED6DB8"/>
    <w:pPr>
      <w:keepNext/>
      <w:spacing w:line="360" w:lineRule="auto"/>
      <w:jc w:val="center"/>
      <w:outlineLvl w:val="1"/>
    </w:pPr>
    <w:rPr>
      <w:b/>
      <w:u w:val="single"/>
    </w:rPr>
  </w:style>
  <w:style w:type="paragraph" w:styleId="Heading3">
    <w:name w:val="heading 3"/>
    <w:basedOn w:val="Normal"/>
    <w:next w:val="Normal"/>
    <w:link w:val="Heading3Char"/>
    <w:qFormat/>
    <w:rsid w:val="00ED6DB8"/>
    <w:pPr>
      <w:keepNext/>
      <w:spacing w:line="360" w:lineRule="auto"/>
      <w:jc w:val="center"/>
      <w:outlineLvl w:val="2"/>
    </w:pPr>
    <w:rPr>
      <w:b/>
    </w:rPr>
  </w:style>
  <w:style w:type="paragraph" w:styleId="Heading4">
    <w:name w:val="heading 4"/>
    <w:basedOn w:val="Normal"/>
    <w:next w:val="Normal"/>
    <w:link w:val="Heading4Char"/>
    <w:qFormat/>
    <w:rsid w:val="00ED6DB8"/>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ED6DB8"/>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DB8"/>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ED6DB8"/>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ED6DB8"/>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ED6DB8"/>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ED6DB8"/>
    <w:rPr>
      <w:rFonts w:ascii="Arial" w:eastAsia="Times New Roman" w:hAnsi="Arial" w:cs="Times New Roman"/>
      <w:sz w:val="24"/>
      <w:szCs w:val="20"/>
      <w:u w:val="single"/>
      <w:lang w:eastAsia="el-GR" w:bidi="ar-SA"/>
    </w:rPr>
  </w:style>
  <w:style w:type="paragraph" w:styleId="Footer">
    <w:name w:val="footer"/>
    <w:basedOn w:val="Normal"/>
    <w:link w:val="FooterChar"/>
    <w:uiPriority w:val="99"/>
    <w:rsid w:val="00ED6DB8"/>
    <w:pPr>
      <w:tabs>
        <w:tab w:val="center" w:pos="4153"/>
        <w:tab w:val="right" w:pos="8306"/>
      </w:tabs>
    </w:pPr>
  </w:style>
  <w:style w:type="character" w:customStyle="1" w:styleId="FooterChar">
    <w:name w:val="Footer Char"/>
    <w:basedOn w:val="DefaultParagraphFont"/>
    <w:link w:val="Footer"/>
    <w:uiPriority w:val="99"/>
    <w:rsid w:val="00ED6DB8"/>
    <w:rPr>
      <w:rFonts w:ascii="Arial" w:eastAsia="Times New Roman" w:hAnsi="Arial" w:cs="Times New Roman"/>
      <w:sz w:val="24"/>
      <w:szCs w:val="20"/>
      <w:lang w:eastAsia="el-GR" w:bidi="ar-SA"/>
    </w:rPr>
  </w:style>
  <w:style w:type="character" w:styleId="PageNumber">
    <w:name w:val="page number"/>
    <w:basedOn w:val="DefaultParagraphFont"/>
    <w:rsid w:val="00ED6DB8"/>
  </w:style>
  <w:style w:type="paragraph" w:styleId="FootnoteText">
    <w:name w:val="footnote text"/>
    <w:basedOn w:val="Normal"/>
    <w:link w:val="FootnoteTextChar"/>
    <w:semiHidden/>
    <w:rsid w:val="00ED6DB8"/>
    <w:rPr>
      <w:sz w:val="20"/>
    </w:rPr>
  </w:style>
  <w:style w:type="character" w:customStyle="1" w:styleId="FootnoteTextChar">
    <w:name w:val="Footnote Text Char"/>
    <w:basedOn w:val="DefaultParagraphFont"/>
    <w:link w:val="FootnoteText"/>
    <w:semiHidden/>
    <w:rsid w:val="00ED6DB8"/>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ED6DB8"/>
    <w:rPr>
      <w:vertAlign w:val="superscript"/>
    </w:rPr>
  </w:style>
  <w:style w:type="paragraph" w:styleId="BodyText">
    <w:name w:val="Body Text"/>
    <w:basedOn w:val="Normal"/>
    <w:link w:val="BodyTextChar"/>
    <w:rsid w:val="00ED6DB8"/>
    <w:pPr>
      <w:spacing w:line="360" w:lineRule="auto"/>
      <w:jc w:val="both"/>
    </w:pPr>
  </w:style>
  <w:style w:type="character" w:customStyle="1" w:styleId="BodyTextChar">
    <w:name w:val="Body Text Char"/>
    <w:basedOn w:val="DefaultParagraphFont"/>
    <w:link w:val="BodyText"/>
    <w:rsid w:val="00ED6DB8"/>
    <w:rPr>
      <w:rFonts w:ascii="Arial" w:eastAsia="Times New Roman" w:hAnsi="Arial" w:cs="Times New Roman"/>
      <w:sz w:val="24"/>
      <w:szCs w:val="20"/>
      <w:lang w:eastAsia="el-GR" w:bidi="ar-SA"/>
    </w:rPr>
  </w:style>
  <w:style w:type="paragraph" w:styleId="BodyText2">
    <w:name w:val="Body Text 2"/>
    <w:basedOn w:val="Normal"/>
    <w:link w:val="BodyText2Char"/>
    <w:rsid w:val="00ED6DB8"/>
    <w:pPr>
      <w:spacing w:line="360" w:lineRule="auto"/>
      <w:ind w:left="360"/>
    </w:pPr>
  </w:style>
  <w:style w:type="character" w:customStyle="1" w:styleId="BodyText2Char">
    <w:name w:val="Body Text 2 Char"/>
    <w:basedOn w:val="DefaultParagraphFont"/>
    <w:link w:val="BodyText2"/>
    <w:rsid w:val="00ED6DB8"/>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ED6DB8"/>
    <w:pPr>
      <w:pBdr>
        <w:left w:val="single" w:sz="18" w:space="1" w:color="auto"/>
      </w:pBdr>
    </w:pPr>
    <w:rPr>
      <w:sz w:val="20"/>
    </w:rPr>
  </w:style>
  <w:style w:type="paragraph" w:customStyle="1" w:styleId="Aeoyuoc-Aiooonioceaoaeaa">
    <w:name w:val="Aeoy?uoc- Aio?oonioc eaoae?aa"/>
    <w:basedOn w:val="Normal"/>
    <w:next w:val="Aeoyuoc-AunioEYiaCianiicia"/>
    <w:rsid w:val="00ED6DB8"/>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ED6DB8"/>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ED6DB8"/>
    <w:pPr>
      <w:pBdr>
        <w:left w:val="single" w:sz="18" w:space="1" w:color="auto"/>
      </w:pBdr>
    </w:pPr>
    <w:rPr>
      <w:sz w:val="20"/>
    </w:rPr>
  </w:style>
  <w:style w:type="paragraph" w:styleId="Title">
    <w:name w:val="Title"/>
    <w:basedOn w:val="Normal"/>
    <w:link w:val="TitleChar"/>
    <w:qFormat/>
    <w:rsid w:val="00ED6DB8"/>
    <w:pPr>
      <w:spacing w:line="360" w:lineRule="auto"/>
      <w:jc w:val="center"/>
    </w:pPr>
    <w:rPr>
      <w:b/>
    </w:rPr>
  </w:style>
  <w:style w:type="character" w:customStyle="1" w:styleId="TitleChar">
    <w:name w:val="Title Char"/>
    <w:basedOn w:val="DefaultParagraphFont"/>
    <w:link w:val="Title"/>
    <w:rsid w:val="00ED6DB8"/>
    <w:rPr>
      <w:rFonts w:ascii="Arial" w:eastAsia="Times New Roman" w:hAnsi="Arial" w:cs="Times New Roman"/>
      <w:b/>
      <w:sz w:val="24"/>
      <w:szCs w:val="20"/>
      <w:lang w:eastAsia="el-GR" w:bidi="ar-SA"/>
    </w:rPr>
  </w:style>
  <w:style w:type="character" w:styleId="LineNumber">
    <w:name w:val="line number"/>
    <w:basedOn w:val="DefaultParagraphFont"/>
    <w:rsid w:val="00ED6DB8"/>
    <w:rPr>
      <w:rFonts w:ascii="Times New Roman" w:hAnsi="Times New Roman"/>
    </w:rPr>
  </w:style>
  <w:style w:type="character" w:styleId="EndnoteReference">
    <w:name w:val="endnote reference"/>
    <w:basedOn w:val="DefaultParagraphFont"/>
    <w:semiHidden/>
    <w:rsid w:val="00ED6DB8"/>
    <w:rPr>
      <w:rFonts w:ascii="Times New Roman" w:hAnsi="Times New Roman"/>
      <w:vertAlign w:val="superscript"/>
    </w:rPr>
  </w:style>
  <w:style w:type="character" w:styleId="CommentReference">
    <w:name w:val="annotation reference"/>
    <w:basedOn w:val="DefaultParagraphFont"/>
    <w:semiHidden/>
    <w:rsid w:val="00ED6DB8"/>
    <w:rPr>
      <w:rFonts w:ascii="Times New Roman" w:hAnsi="Times New Roman"/>
      <w:sz w:val="16"/>
    </w:rPr>
  </w:style>
  <w:style w:type="paragraph" w:styleId="Subtitle">
    <w:name w:val="Subtitle"/>
    <w:basedOn w:val="Normal"/>
    <w:link w:val="SubtitleChar"/>
    <w:qFormat/>
    <w:rsid w:val="00ED6DB8"/>
    <w:pPr>
      <w:spacing w:after="60"/>
      <w:jc w:val="center"/>
    </w:pPr>
  </w:style>
  <w:style w:type="character" w:customStyle="1" w:styleId="SubtitleChar">
    <w:name w:val="Subtitle Char"/>
    <w:basedOn w:val="DefaultParagraphFont"/>
    <w:link w:val="Subtitle"/>
    <w:rsid w:val="00ED6DB8"/>
    <w:rPr>
      <w:rFonts w:ascii="Arial" w:eastAsia="Times New Roman" w:hAnsi="Arial" w:cs="Times New Roman"/>
      <w:sz w:val="24"/>
      <w:szCs w:val="20"/>
      <w:lang w:eastAsia="el-GR" w:bidi="ar-SA"/>
    </w:rPr>
  </w:style>
  <w:style w:type="character" w:styleId="Hyperlink">
    <w:name w:val="Hyperlink"/>
    <w:basedOn w:val="DefaultParagraphFont"/>
    <w:rsid w:val="00ED6DB8"/>
    <w:rPr>
      <w:color w:val="0000FF"/>
      <w:u w:val="single"/>
    </w:rPr>
  </w:style>
  <w:style w:type="character" w:styleId="FollowedHyperlink">
    <w:name w:val="FollowedHyperlink"/>
    <w:basedOn w:val="DefaultParagraphFont"/>
    <w:rsid w:val="00ED6DB8"/>
    <w:rPr>
      <w:color w:val="800080"/>
      <w:u w:val="single"/>
    </w:rPr>
  </w:style>
  <w:style w:type="paragraph" w:customStyle="1" w:styleId="BodyText21">
    <w:name w:val="Body Text 21"/>
    <w:basedOn w:val="Normal"/>
    <w:rsid w:val="00ED6DB8"/>
    <w:pPr>
      <w:spacing w:line="360" w:lineRule="auto"/>
      <w:ind w:left="360"/>
    </w:pPr>
  </w:style>
  <w:style w:type="paragraph" w:styleId="BodyTextIndent2">
    <w:name w:val="Body Text Indent 2"/>
    <w:basedOn w:val="Normal"/>
    <w:link w:val="BodyTextIndent2Char"/>
    <w:rsid w:val="00ED6DB8"/>
    <w:pPr>
      <w:spacing w:after="120" w:line="480" w:lineRule="auto"/>
      <w:ind w:left="283"/>
    </w:pPr>
  </w:style>
  <w:style w:type="character" w:customStyle="1" w:styleId="BodyTextIndent2Char">
    <w:name w:val="Body Text Indent 2 Char"/>
    <w:basedOn w:val="DefaultParagraphFont"/>
    <w:link w:val="BodyTextIndent2"/>
    <w:rsid w:val="00ED6DB8"/>
    <w:rPr>
      <w:rFonts w:ascii="Arial" w:eastAsia="Times New Roman" w:hAnsi="Arial" w:cs="Times New Roman"/>
      <w:sz w:val="24"/>
      <w:szCs w:val="20"/>
      <w:lang w:eastAsia="el-GR" w:bidi="ar-SA"/>
    </w:rPr>
  </w:style>
  <w:style w:type="paragraph" w:styleId="Header">
    <w:name w:val="header"/>
    <w:basedOn w:val="Normal"/>
    <w:link w:val="HeaderChar"/>
    <w:rsid w:val="00ED6DB8"/>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ED6DB8"/>
    <w:rPr>
      <w:rFonts w:ascii="Times New Roman" w:eastAsia="Times New Roman" w:hAnsi="Times New Roman" w:cs="Times New Roman"/>
      <w:sz w:val="24"/>
      <w:szCs w:val="24"/>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fedrgstr/EPA-PEST/1999/February/Day-05/6055.pdf" TargetMode="External"/><Relationship Id="rId2" Type="http://schemas.openxmlformats.org/officeDocument/2006/relationships/hyperlink" Target="http://webdomino1.oecd.org/ehs/ipcs.nsf" TargetMode="External"/><Relationship Id="rId1" Type="http://schemas.openxmlformats.org/officeDocument/2006/relationships/hyperlink" Target="http://www.epa.gov/ncea/pdfs/riskcom/riskcom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31977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2</cp:revision>
  <dcterms:created xsi:type="dcterms:W3CDTF">2013-03-02T20:01:00Z</dcterms:created>
  <dcterms:modified xsi:type="dcterms:W3CDTF">2013-03-02T20:01:00Z</dcterms:modified>
</cp:coreProperties>
</file>