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CAF" w:rsidRPr="005B31B3" w:rsidRDefault="00742CAF" w:rsidP="00742CAF">
      <w:pPr>
        <w:numPr>
          <w:ilvl w:val="12"/>
          <w:numId w:val="0"/>
        </w:numPr>
        <w:spacing w:line="20" w:lineRule="atLeast"/>
        <w:jc w:val="both"/>
        <w:rPr>
          <w:b/>
        </w:rPr>
      </w:pPr>
      <w:bookmarkStart w:id="0" w:name="_GoBack"/>
      <w:bookmarkEnd w:id="0"/>
      <w:r w:rsidRPr="005B31B3">
        <w:rPr>
          <w:b/>
        </w:rPr>
        <w:t>Ι. ΕΙΣΑΓΩΓΗ</w:t>
      </w:r>
    </w:p>
    <w:p w:rsidR="00742CAF" w:rsidRDefault="00742CAF" w:rsidP="00742CAF">
      <w:pPr>
        <w:numPr>
          <w:ilvl w:val="12"/>
          <w:numId w:val="0"/>
        </w:numPr>
        <w:spacing w:line="20" w:lineRule="atLeast"/>
        <w:jc w:val="both"/>
        <w:rPr>
          <w:bCs/>
        </w:rPr>
      </w:pPr>
    </w:p>
    <w:p w:rsidR="00742CAF" w:rsidRDefault="00742CAF" w:rsidP="00742CAF">
      <w:pPr>
        <w:spacing w:line="360" w:lineRule="auto"/>
        <w:jc w:val="both"/>
        <w:rPr>
          <w:bCs/>
        </w:rPr>
      </w:pPr>
      <w:r w:rsidRPr="008A0D9B">
        <w:rPr>
          <w:bCs/>
        </w:rPr>
        <w:t xml:space="preserve"> </w:t>
      </w:r>
      <w:r>
        <w:rPr>
          <w:bCs/>
        </w:rPr>
        <w:t xml:space="preserve">      </w:t>
      </w:r>
      <w:r w:rsidRPr="008D4F0C">
        <w:rPr>
          <w:bCs/>
        </w:rPr>
        <w:t>Αποτελεί</w:t>
      </w:r>
      <w:r>
        <w:rPr>
          <w:bCs/>
        </w:rPr>
        <w:t xml:space="preserve"> πλέον κοινό τόπο η διαπίστωση ότι η εποχή μας χαρακτηρίζεται από σημαντικές τεχνολογικές αλλαγές οι οποίες επιδρούν στην οικονομία, στην κοινωνία και, εν τέλει, στη ζωή του καθενός. Π.χ., η βιοτεχνολογία ή η νανοτεχνολογία έχουν ευρύτατες εφαρμογές που καλύπτουν πολλούς τομείς της οικονομικής δραστηριότητας και της καθημερινότητας όλων μας</w:t>
      </w:r>
      <w:r>
        <w:rPr>
          <w:rStyle w:val="FootnoteReference"/>
          <w:bCs/>
        </w:rPr>
        <w:footnoteReference w:id="1"/>
      </w:r>
      <w:r>
        <w:rPr>
          <w:bCs/>
        </w:rPr>
        <w:t>. Ενώ οι επιδράσεις είναι ορατές, θα ήταν αφελές να θεωρήσει κανείς ότι υπάρχει η δυνατότητα της πλήρους πρόβλεψης των συνεπειών τους καθώς πρόκειται για νέες πρακτικές για τις οποίες δεν υπάρχει η λεγόμενη ‘‘επιστροφή της εμπειρίας’’. Μεταξύ των αναδυόμενων τεχνολογιών σημαντική θέση κατέχει η σύγχρονη βιοτεχνολογία ή γενετική μηχανική. Στην παρούσα μελέτη θα μας απασχολήσει η αγροτική βιοτεχνολογία, καθώς είναι αυτή που έχει αποτελέσει το αντικείμενο των μεγαλύτερων διαφωνιών τόσο σε επιστημονικό όσο και σε νομικό επίπεδο</w:t>
      </w:r>
      <w:r>
        <w:rPr>
          <w:rStyle w:val="FootnoteReference"/>
          <w:bCs/>
        </w:rPr>
        <w:footnoteReference w:id="2"/>
      </w:r>
      <w:r>
        <w:rPr>
          <w:bCs/>
        </w:rPr>
        <w:t>.</w:t>
      </w:r>
    </w:p>
    <w:p w:rsidR="00742CAF" w:rsidRDefault="00742CAF" w:rsidP="00742CAF">
      <w:pPr>
        <w:spacing w:line="360" w:lineRule="auto"/>
        <w:jc w:val="both"/>
        <w:rPr>
          <w:bCs/>
        </w:rPr>
      </w:pPr>
    </w:p>
    <w:p w:rsidR="00742CAF" w:rsidRDefault="00742CAF" w:rsidP="00742CAF">
      <w:pPr>
        <w:spacing w:line="360" w:lineRule="auto"/>
        <w:jc w:val="both"/>
        <w:rPr>
          <w:bCs/>
        </w:rPr>
      </w:pPr>
      <w:r>
        <w:rPr>
          <w:bCs/>
        </w:rPr>
        <w:t xml:space="preserve">      </w:t>
      </w:r>
      <w:r w:rsidRPr="008A0D9B">
        <w:t xml:space="preserve">Η </w:t>
      </w:r>
      <w:r>
        <w:t>γενετική μηχανική</w:t>
      </w:r>
      <w:r w:rsidRPr="008A0D9B">
        <w:t xml:space="preserve"> είναι ένας πολύ ευρύς όρος </w:t>
      </w:r>
      <w:r>
        <w:t>καθόσον</w:t>
      </w:r>
      <w:r w:rsidRPr="008A0D9B">
        <w:t xml:space="preserve"> περιλαμβάνει το σύνολο των τεχνικών που επιτρέπουν να εισαχθεί συνθετικό γενετικό υλικό ή να μεταβιβασθεί γενετικό υλικό ενός οργανισμού σ’ ένα άλλο, του ιδίου ή άλλου είδους</w:t>
      </w:r>
      <w:r w:rsidRPr="008A0D9B">
        <w:rPr>
          <w:rStyle w:val="FootnoteReference"/>
        </w:rPr>
        <w:footnoteReference w:id="3"/>
      </w:r>
      <w:r w:rsidRPr="008A0D9B">
        <w:t xml:space="preserve">. Ειδικότερα, οι ΓΤΟ παράγονται μέσω της εισαγωγής ξένων γονιδίων στα κύτταρα ενός οργανισμού αποδέκτη. Υπάρχουν </w:t>
      </w:r>
      <w:r>
        <w:t>διάφορες</w:t>
      </w:r>
      <w:r w:rsidRPr="008A0D9B">
        <w:t xml:space="preserve"> τεχνικές που χρησιμοποιούνται για την εισαγωγή ξένων γονιδίων στο γονιδίωμα ενός φυτού</w:t>
      </w:r>
      <w:r>
        <w:t>,</w:t>
      </w:r>
      <w:r w:rsidRPr="008A0D9B">
        <w:t xml:space="preserve"> </w:t>
      </w:r>
      <w:r>
        <w:t xml:space="preserve">από τις οποίες η πιο γνωστή </w:t>
      </w:r>
      <w:r w:rsidRPr="008A0D9B">
        <w:t xml:space="preserve">είναι η μεταφορά </w:t>
      </w:r>
      <w:r w:rsidRPr="008A0D9B">
        <w:rPr>
          <w:lang w:val="en-US"/>
        </w:rPr>
        <w:t>DNA</w:t>
      </w:r>
      <w:r w:rsidRPr="008A0D9B">
        <w:t xml:space="preserve"> ενός βακτηρίου στα κύτταρα το</w:t>
      </w:r>
      <w:r>
        <w:t>υ ξενιστή φυτού</w:t>
      </w:r>
      <w:r>
        <w:rPr>
          <w:rStyle w:val="FootnoteReference"/>
        </w:rPr>
        <w:footnoteReference w:id="4"/>
      </w:r>
      <w:r>
        <w:t xml:space="preserve">. </w:t>
      </w:r>
      <w:r w:rsidRPr="005B31B3">
        <w:t xml:space="preserve"> Η </w:t>
      </w:r>
      <w:r>
        <w:t>γενετική μηχανική</w:t>
      </w:r>
      <w:r w:rsidRPr="005B31B3">
        <w:t xml:space="preserve"> υπόσχεται καλύτερη υγεία των ανθρώπων ή/και των ζώων,</w:t>
      </w:r>
      <w:r w:rsidRPr="008A332E">
        <w:t xml:space="preserve"> </w:t>
      </w:r>
      <w:r w:rsidRPr="005B31B3">
        <w:t>περιβαλλοντική προστασία</w:t>
      </w:r>
      <w:r>
        <w:t>,</w:t>
      </w:r>
      <w:r w:rsidRPr="005B31B3">
        <w:t xml:space="preserve"> βελτίωση της διατροφής</w:t>
      </w:r>
      <w:r>
        <w:t xml:space="preserve"> και διατροφική ασφάλεια</w:t>
      </w:r>
      <w:r>
        <w:rPr>
          <w:rStyle w:val="FootnoteReference"/>
        </w:rPr>
        <w:footnoteReference w:id="5"/>
      </w:r>
      <w:r w:rsidRPr="005B31B3">
        <w:t xml:space="preserve">. Από την άλλη πλευρά όμως, η απελευθέρωση στο περιβάλλον ΓΤΟ και η </w:t>
      </w:r>
      <w:r w:rsidRPr="005B31B3">
        <w:lastRenderedPageBreak/>
        <w:t>χρήση φαρμάκων ή συστατικών τροφίμων που προέρχονται από ΓΤΟ  προκαλεί ανησυχίες για ενδεχόμενες αρνητικές επιπτώσεις στην υγεία και στο περιβάλλον</w:t>
      </w:r>
      <w:r w:rsidRPr="005B31B3">
        <w:rPr>
          <w:rStyle w:val="FootnoteReference"/>
        </w:rPr>
        <w:footnoteReference w:id="6"/>
      </w:r>
      <w:r w:rsidRPr="005B31B3">
        <w:t xml:space="preserve">. </w:t>
      </w:r>
      <w:r>
        <w:rPr>
          <w:bCs/>
        </w:rPr>
        <w:t xml:space="preserve">    </w:t>
      </w:r>
    </w:p>
    <w:p w:rsidR="00742CAF" w:rsidRPr="009D6DB6" w:rsidRDefault="00742CAF" w:rsidP="00742CAF">
      <w:pPr>
        <w:spacing w:line="360" w:lineRule="auto"/>
        <w:jc w:val="both"/>
        <w:rPr>
          <w:bCs/>
        </w:rPr>
      </w:pPr>
    </w:p>
    <w:p w:rsidR="00742CAF" w:rsidRDefault="00742CAF" w:rsidP="00742CAF">
      <w:pPr>
        <w:spacing w:line="360" w:lineRule="auto"/>
        <w:jc w:val="both"/>
      </w:pPr>
      <w:r>
        <w:rPr>
          <w:bCs/>
        </w:rPr>
        <w:t xml:space="preserve">     Οι</w:t>
      </w:r>
      <w:r w:rsidRPr="008A0D9B">
        <w:rPr>
          <w:bCs/>
        </w:rPr>
        <w:t xml:space="preserve"> ΓΤΟ </w:t>
      </w:r>
      <w:r>
        <w:rPr>
          <w:bCs/>
        </w:rPr>
        <w:t xml:space="preserve">που </w:t>
      </w:r>
      <w:r w:rsidRPr="008A0D9B">
        <w:rPr>
          <w:bCs/>
        </w:rPr>
        <w:t xml:space="preserve">υπάγονται σε ρυθμίσεις </w:t>
      </w:r>
      <w:r>
        <w:rPr>
          <w:bCs/>
        </w:rPr>
        <w:t>ανήκουν</w:t>
      </w:r>
      <w:r w:rsidRPr="008A0D9B">
        <w:rPr>
          <w:bCs/>
        </w:rPr>
        <w:t xml:space="preserve"> - κατά βάση-</w:t>
      </w:r>
      <w:r>
        <w:rPr>
          <w:bCs/>
        </w:rPr>
        <w:t xml:space="preserve"> σε δύο κατηγορίες</w:t>
      </w:r>
      <w:r w:rsidRPr="008A0D9B">
        <w:rPr>
          <w:bCs/>
        </w:rPr>
        <w:t>: Στην πρώτη κατηγορία ανήκουν εκείνοι που  προορίζονται για Γενετικά Τροποποιημένες Καλλιέργειες (ΓΤΚ) και στη δεύτερη εκείνοι που προορίζονται για κατανάλωση (τροφές, ζωοτροφές ή άλλη βιομηχανική χρήση). Παρά το ότι οι ΓΤΟ υπάγονται σε ρυθμίσεις σε ό</w:t>
      </w:r>
      <w:r>
        <w:rPr>
          <w:bCs/>
        </w:rPr>
        <w:t>,</w:t>
      </w:r>
      <w:r w:rsidRPr="008A0D9B">
        <w:rPr>
          <w:bCs/>
        </w:rPr>
        <w:t xml:space="preserve">τι αφορά στον έλεγχο, στη διάθεση στην αγορά, στην καλλιέργεια ή στη γενική κατανάλωση, </w:t>
      </w:r>
      <w:r>
        <w:rPr>
          <w:bCs/>
        </w:rPr>
        <w:t>συνεχίζουν να</w:t>
      </w:r>
      <w:r w:rsidRPr="008A0D9B">
        <w:rPr>
          <w:bCs/>
        </w:rPr>
        <w:t xml:space="preserve"> αποτελούν αντικείμενο διαφωνιών. Ειδικότερα, οι ΓΤΚ είναι οι περισσότερο αμφισβητούμενες από όλες τις άλλες χρήσεις ΓΤΟ διότι  η απελευθέρωση στο περιβάλλον με τον τρόπο που γίνεται -δηλαδή με τις γεωργικές μεθόδους- ενέχει ιδιαίτερους κινδύνους</w:t>
      </w:r>
      <w:r w:rsidRPr="008A0D9B">
        <w:rPr>
          <w:rStyle w:val="FootnoteReference"/>
          <w:bCs/>
        </w:rPr>
        <w:footnoteReference w:id="7"/>
      </w:r>
      <w:r w:rsidRPr="008A0D9B">
        <w:rPr>
          <w:bCs/>
        </w:rPr>
        <w:t>. Γι’ αυτόν ακριβώς το λόγο οι μεγαλύτερες διαφωνίες τόσο εντός της Ε</w:t>
      </w:r>
      <w:r>
        <w:rPr>
          <w:bCs/>
        </w:rPr>
        <w:t>.</w:t>
      </w:r>
      <w:r w:rsidRPr="008A0D9B">
        <w:rPr>
          <w:bCs/>
        </w:rPr>
        <w:t>Ε</w:t>
      </w:r>
      <w:r>
        <w:rPr>
          <w:bCs/>
        </w:rPr>
        <w:t>.</w:t>
      </w:r>
      <w:r w:rsidRPr="008A0D9B">
        <w:rPr>
          <w:bCs/>
        </w:rPr>
        <w:t xml:space="preserve"> όσο και διεθνώς είναι αυτές που συνδέονται με τις ΓΤΚ.  Σε ό</w:t>
      </w:r>
      <w:r>
        <w:rPr>
          <w:bCs/>
        </w:rPr>
        <w:t>,</w:t>
      </w:r>
      <w:r w:rsidRPr="008A0D9B">
        <w:rPr>
          <w:bCs/>
        </w:rPr>
        <w:t>τι αφορά</w:t>
      </w:r>
      <w:r>
        <w:rPr>
          <w:bCs/>
        </w:rPr>
        <w:t xml:space="preserve"> δε</w:t>
      </w:r>
      <w:r w:rsidRPr="008A0D9B">
        <w:rPr>
          <w:bCs/>
        </w:rPr>
        <w:t xml:space="preserve"> στα ποσοτικά δεδομένα</w:t>
      </w:r>
      <w:r>
        <w:rPr>
          <w:bCs/>
        </w:rPr>
        <w:t>,</w:t>
      </w:r>
      <w:r w:rsidRPr="008A0D9B">
        <w:rPr>
          <w:bCs/>
        </w:rPr>
        <w:t xml:space="preserve"> η</w:t>
      </w:r>
      <w:r w:rsidRPr="008A0D9B">
        <w:t xml:space="preserve"> παγκόσμια καλλιέργεια ΓΤΟ αυξήθηκε πολύ γρήγορα από το 1996 </w:t>
      </w:r>
      <w:r>
        <w:t>τη χρονιά δηλαδή που</w:t>
      </w:r>
      <w:r w:rsidRPr="008A0D9B">
        <w:t xml:space="preserve"> ξεκίνησε για πρώτη φορά (κυρίως σόγια, καλαμπόκι και βαμβάκι) καλύπτοντας 128 εκατομμύρια εκτάρια καλλιεργούμενων γαιών</w:t>
      </w:r>
      <w:r w:rsidRPr="008A0D9B">
        <w:rPr>
          <w:rStyle w:val="FootnoteReference"/>
        </w:rPr>
        <w:footnoteReference w:id="8"/>
      </w:r>
      <w:r w:rsidRPr="008A0D9B">
        <w:t xml:space="preserve">. </w:t>
      </w:r>
    </w:p>
    <w:p w:rsidR="00742CAF" w:rsidRPr="008A0D9B" w:rsidRDefault="00742CAF" w:rsidP="00742CAF">
      <w:pPr>
        <w:spacing w:line="360" w:lineRule="auto"/>
        <w:jc w:val="both"/>
      </w:pPr>
    </w:p>
    <w:p w:rsidR="00742CAF" w:rsidRDefault="00742CAF" w:rsidP="00742CAF">
      <w:pPr>
        <w:spacing w:line="360" w:lineRule="auto"/>
        <w:jc w:val="both"/>
      </w:pPr>
      <w:r>
        <w:t xml:space="preserve">   </w:t>
      </w:r>
      <w:r w:rsidRPr="009D6DB6">
        <w:t xml:space="preserve"> </w:t>
      </w:r>
      <w:r w:rsidRPr="008A0D9B">
        <w:t xml:space="preserve">Στις ΗΠΑ  </w:t>
      </w:r>
      <w:r>
        <w:t>οι εκτάσεις στις οποίες καλλιεργούνται ΓΤΟ (62.5</w:t>
      </w:r>
      <w:r w:rsidRPr="008A0D9B">
        <w:t xml:space="preserve"> εκατομμύρια εκτάρια) </w:t>
      </w:r>
      <w:r>
        <w:t>αποτελούν</w:t>
      </w:r>
      <w:r w:rsidRPr="008A0D9B">
        <w:t xml:space="preserve"> το ήμισυ των παγκοσμίως καλλιεργούμενων εκτάσεων</w:t>
      </w:r>
      <w:r w:rsidRPr="002B2181">
        <w:t>,</w:t>
      </w:r>
      <w:r w:rsidRPr="008A0D9B">
        <w:t xml:space="preserve"> με κύρια</w:t>
      </w:r>
      <w:r w:rsidRPr="002B2181">
        <w:t xml:space="preserve"> </w:t>
      </w:r>
      <w:r w:rsidRPr="008A0D9B">
        <w:t xml:space="preserve">καλλιεργούμενα είδη τη σόγια (91%), το καλαμπόκι (85%) και το βαμβάκι (88%). Άλλες χώρες που καλλιεργούν μεγάλες εκτάσεις με ΓΤΟ είναι η Αργεντινή, η Βραζιλία, ο Καναδάς, η Ινδία, η Κίνα, η Παραγουάη και η Νότια Αφρική. </w:t>
      </w:r>
      <w:r>
        <w:t xml:space="preserve">Περίπου </w:t>
      </w:r>
      <w:r w:rsidRPr="008A0D9B">
        <w:t xml:space="preserve">13.3 εκατομμύρια </w:t>
      </w:r>
      <w:r>
        <w:t>αγρότες καλλιεργούν ΓΤΟ</w:t>
      </w:r>
      <w:r w:rsidRPr="008A0D9B">
        <w:t xml:space="preserve"> από τους οποίους τα 12.3 εκατομμύρια </w:t>
      </w:r>
      <w:r w:rsidRPr="008A0D9B">
        <w:lastRenderedPageBreak/>
        <w:t xml:space="preserve">σε αναπτυσσόμενες χώρες. Στην πλειοψηφία τους καλλιεργούν βαμβάκι </w:t>
      </w:r>
      <w:r w:rsidRPr="008A0D9B">
        <w:rPr>
          <w:lang w:val="en-US"/>
        </w:rPr>
        <w:t>bt</w:t>
      </w:r>
      <w:r w:rsidRPr="008A0D9B">
        <w:rPr>
          <w:rStyle w:val="FootnoteReference"/>
          <w:lang w:val="en-US"/>
        </w:rPr>
        <w:footnoteReference w:id="9"/>
      </w:r>
      <w:r w:rsidRPr="008A0D9B">
        <w:t xml:space="preserve"> </w:t>
      </w:r>
      <w:r>
        <w:t xml:space="preserve">ιδίως </w:t>
      </w:r>
      <w:r w:rsidRPr="008A0D9B">
        <w:t>στην Κίνα (7.1 εκατομμύρια)</w:t>
      </w:r>
      <w:r>
        <w:t>,</w:t>
      </w:r>
      <w:r w:rsidRPr="008A0D9B">
        <w:t xml:space="preserve"> στην Ινδία (5 εκατομμύρια) και σε άλλες αναπτυσσόμενες χώρες</w:t>
      </w:r>
      <w:r w:rsidRPr="008A0D9B">
        <w:rPr>
          <w:rStyle w:val="FootnoteReference"/>
        </w:rPr>
        <w:footnoteReference w:id="10"/>
      </w:r>
      <w:r w:rsidRPr="008A0D9B">
        <w:t xml:space="preserve">.   </w:t>
      </w:r>
    </w:p>
    <w:p w:rsidR="00742CAF" w:rsidRDefault="00742CAF" w:rsidP="00742CAF">
      <w:pPr>
        <w:spacing w:line="360" w:lineRule="auto"/>
        <w:jc w:val="both"/>
      </w:pPr>
    </w:p>
    <w:p w:rsidR="00742CAF" w:rsidRDefault="00742CAF" w:rsidP="00742CAF">
      <w:pPr>
        <w:spacing w:line="360" w:lineRule="auto"/>
        <w:jc w:val="both"/>
      </w:pPr>
      <w:r>
        <w:t xml:space="preserve">    </w:t>
      </w:r>
      <w:r w:rsidRPr="008A0D9B">
        <w:t>Στην Ε</w:t>
      </w:r>
      <w:r>
        <w:t>.</w:t>
      </w:r>
      <w:r w:rsidRPr="008A0D9B">
        <w:t>Ε</w:t>
      </w:r>
      <w:r>
        <w:t>.</w:t>
      </w:r>
      <w:r w:rsidRPr="008A0D9B">
        <w:t xml:space="preserve"> επιτρέπεται μόνο η καλλιέργεια ΓΤ καλαμποκιού (</w:t>
      </w:r>
      <w:r w:rsidRPr="008A0D9B">
        <w:rPr>
          <w:lang w:val="en-US"/>
        </w:rPr>
        <w:t>MON</w:t>
      </w:r>
      <w:r w:rsidRPr="008A0D9B">
        <w:t>810)</w:t>
      </w:r>
      <w:r w:rsidRPr="008A0D9B">
        <w:rPr>
          <w:rStyle w:val="FootnoteReference"/>
        </w:rPr>
        <w:footnoteReference w:id="11"/>
      </w:r>
      <w:r>
        <w:t xml:space="preserve"> και</w:t>
      </w:r>
      <w:r w:rsidRPr="008A0D9B">
        <w:t xml:space="preserve"> του γεώμηλου </w:t>
      </w:r>
      <w:r w:rsidRPr="008A0D9B">
        <w:rPr>
          <w:lang w:val="en-US"/>
        </w:rPr>
        <w:t>amflora</w:t>
      </w:r>
      <w:r w:rsidRPr="008A0D9B">
        <w:rPr>
          <w:rStyle w:val="FootnoteReference"/>
          <w:lang w:val="en-US"/>
        </w:rPr>
        <w:footnoteReference w:id="12"/>
      </w:r>
      <w:r w:rsidRPr="008A0D9B">
        <w:t xml:space="preserve">. Το 2008 καλλιεργήθηκαν από τους Ευρωπαίους αγρότες περί τα 108.000 εκτάρια καλαμποκιού </w:t>
      </w:r>
      <w:r w:rsidRPr="008A0D9B">
        <w:rPr>
          <w:lang w:val="en-US"/>
        </w:rPr>
        <w:t>bt</w:t>
      </w:r>
      <w:r w:rsidRPr="008A0D9B">
        <w:t xml:space="preserve"> δηλαδή λίγο παραπάνω από το 1% της παγκόσμιας παραγωγής</w:t>
      </w:r>
      <w:r>
        <w:t>, σημειώνοντας μάλιστα</w:t>
      </w:r>
      <w:r w:rsidRPr="008A0D9B">
        <w:t xml:space="preserve"> μείωση σε σχέση με το 2007 κατά 2%</w:t>
      </w:r>
      <w:r w:rsidRPr="008A0D9B">
        <w:rPr>
          <w:rStyle w:val="FootnoteReference"/>
        </w:rPr>
        <w:footnoteReference w:id="13"/>
      </w:r>
      <w:r w:rsidRPr="008A0D9B">
        <w:t>. Το συντριπτικά μεγαλύτερο ποσοστό των εκτάσεων καλλιεργήθηκε από τους Ισπανούς</w:t>
      </w:r>
      <w:r>
        <w:t>,</w:t>
      </w:r>
      <w:r w:rsidRPr="008A0D9B">
        <w:t xml:space="preserve"> για να ακολουθήσουν οι αγρότες άλλων έξι χωρών, της Τσεχίας, της Ρουμανίας, της Πορτογαλίας, της Γερμανίας, της Σλοβακίας και της Πολωνίας</w:t>
      </w:r>
      <w:r w:rsidRPr="008A0D9B">
        <w:rPr>
          <w:rStyle w:val="FootnoteReference"/>
        </w:rPr>
        <w:footnoteReference w:id="14"/>
      </w:r>
      <w:r w:rsidRPr="008A0D9B">
        <w:t>.</w:t>
      </w:r>
      <w:r>
        <w:t xml:space="preserve"> Από τα παραπάνω στοιχεία προκύπτει ότι α</w:t>
      </w:r>
      <w:r w:rsidRPr="008A0D9B">
        <w:t>ν και η πολιτική της Ε</w:t>
      </w:r>
      <w:r>
        <w:t>.</w:t>
      </w:r>
      <w:r w:rsidRPr="008A0D9B">
        <w:t>Ε</w:t>
      </w:r>
      <w:r>
        <w:t>.</w:t>
      </w:r>
      <w:r w:rsidRPr="008A0D9B">
        <w:t xml:space="preserve"> προωθεί την ανάπτυξη της βιοτεχνολογίας</w:t>
      </w:r>
      <w:r w:rsidRPr="008A0D9B">
        <w:rPr>
          <w:rStyle w:val="FootnoteReference"/>
        </w:rPr>
        <w:footnoteReference w:id="15"/>
      </w:r>
      <w:r w:rsidRPr="008A0D9B">
        <w:t xml:space="preserve"> εντούτοις οι ΓΤΟ και ειδικότερα οι ΓΤΚ και τα προϊόντα τους δεν έτυχαν ευνοϊκής αποδοχής από κυβερνήσεις, παραγωγούς και καταναλωτές</w:t>
      </w:r>
      <w:r w:rsidRPr="008A0D9B">
        <w:rPr>
          <w:rStyle w:val="FootnoteReference"/>
        </w:rPr>
        <w:footnoteReference w:id="16"/>
      </w:r>
      <w:r w:rsidRPr="008A0D9B">
        <w:t xml:space="preserve">. </w:t>
      </w:r>
    </w:p>
    <w:p w:rsidR="00742CAF" w:rsidRPr="008A0D9B" w:rsidRDefault="00742CAF" w:rsidP="00742CAF">
      <w:pPr>
        <w:spacing w:line="360" w:lineRule="auto"/>
        <w:jc w:val="both"/>
      </w:pPr>
    </w:p>
    <w:p w:rsidR="00742CAF" w:rsidRDefault="00742CAF" w:rsidP="00742CAF">
      <w:pPr>
        <w:numPr>
          <w:ilvl w:val="12"/>
          <w:numId w:val="0"/>
        </w:numPr>
        <w:spacing w:line="360" w:lineRule="auto"/>
        <w:jc w:val="both"/>
      </w:pPr>
      <w:r>
        <w:t xml:space="preserve">   </w:t>
      </w:r>
      <w:r w:rsidRPr="009D6DB6">
        <w:t xml:space="preserve"> </w:t>
      </w:r>
      <w:r w:rsidRPr="005B31B3">
        <w:t xml:space="preserve">Τις τελευταίες δεκαετίες η ανάπτυξη </w:t>
      </w:r>
      <w:r>
        <w:t>της σύγχρονης βιοτεχνολογίας</w:t>
      </w:r>
      <w:r w:rsidRPr="005B31B3">
        <w:t xml:space="preserve"> αποτελεί ένα από τα </w:t>
      </w:r>
      <w:r>
        <w:t>σημαντικά</w:t>
      </w:r>
      <w:r w:rsidRPr="005B31B3">
        <w:t xml:space="preserve"> ζητήματα πάνω στα οποία εκφράζονται έντονες διαφωνίες, κυρίως μεταξύ των ΗΠΑ και της Ευρώπης</w:t>
      </w:r>
      <w:r w:rsidRPr="005B31B3">
        <w:rPr>
          <w:rStyle w:val="FootnoteReference"/>
        </w:rPr>
        <w:footnoteReference w:id="17"/>
      </w:r>
      <w:r w:rsidRPr="005B31B3">
        <w:t>.</w:t>
      </w:r>
      <w:r w:rsidRPr="00AF30E8">
        <w:t xml:space="preserve"> </w:t>
      </w:r>
      <w:r>
        <w:t xml:space="preserve">Οι παραπάνω διαφοροποιήσεις μεταξύ των δύο </w:t>
      </w:r>
      <w:r>
        <w:lastRenderedPageBreak/>
        <w:t>μεγαλύτερων εμπορικών δυνάμεων του πλανήτη έχουν να κάνουν  με την επιστημονική αξιολόγηση του κινδύνου και με τη γενικότερη κανονιστική προσέγγιση της βιοτεχνολογίας, παρά τις κατά καιρούς προσπάθειες για σύγκλισή τους</w:t>
      </w:r>
      <w:r>
        <w:rPr>
          <w:rStyle w:val="FootnoteReference"/>
        </w:rPr>
        <w:footnoteReference w:id="18"/>
      </w:r>
      <w:r>
        <w:t>. Στις Η.Π.Α. επικρατεί η άποψη ότι: α) η αξιολόγηση του κινδύνου πρέπει να διενεργείται στο προϊόν αυτό καθαυτό και β) η τεχνολογία των ΓΤΟ εντάσσεται στη συνέχεια των καινοτομιών της αγροτικής οικονομίας και, επομένως, οι οποιοιδήποτε κίνδυνοι δεν είναι διαφορετικοί από εκείνους των «παραδοσιακά» παραγόμενων αγροτικών προϊόντων. Περαιτέρω, ως βάση</w:t>
      </w:r>
      <w:r w:rsidRPr="00F941BA">
        <w:t xml:space="preserve"> </w:t>
      </w:r>
      <w:r>
        <w:t>της επιστημονικής αξιολόγησης είναι η θεωρία της «ουσιαστικής ισοδυναμίας»</w:t>
      </w:r>
      <w:r>
        <w:rPr>
          <w:rStyle w:val="FootnoteReference"/>
        </w:rPr>
        <w:footnoteReference w:id="19"/>
      </w:r>
      <w:r>
        <w:t>.</w:t>
      </w:r>
    </w:p>
    <w:p w:rsidR="00742CAF" w:rsidRDefault="00742CAF" w:rsidP="00742CAF">
      <w:pPr>
        <w:numPr>
          <w:ilvl w:val="12"/>
          <w:numId w:val="0"/>
        </w:numPr>
        <w:spacing w:line="360" w:lineRule="auto"/>
        <w:jc w:val="both"/>
      </w:pPr>
      <w:r>
        <w:t xml:space="preserve"> </w:t>
      </w:r>
    </w:p>
    <w:p w:rsidR="00742CAF" w:rsidRDefault="00742CAF" w:rsidP="00742CAF">
      <w:pPr>
        <w:numPr>
          <w:ilvl w:val="12"/>
          <w:numId w:val="0"/>
        </w:numPr>
        <w:spacing w:line="360" w:lineRule="auto"/>
        <w:jc w:val="both"/>
      </w:pPr>
      <w:r>
        <w:t xml:space="preserve">   Αντίθετα, στην Ε.Ε. επικρατεί η άποψη ότι η αξιολόγηση του κινδύνου σχετίζεται περισσότερο με τη διαδικασία παραγωγής του προϊόντος και λιγότερο με το προϊόν αυτό καθαυτό</w:t>
      </w:r>
      <w:r>
        <w:rPr>
          <w:rStyle w:val="FootnoteReference"/>
        </w:rPr>
        <w:footnoteReference w:id="20"/>
      </w:r>
      <w:r>
        <w:t>. Αυτό σημαίνει ότι επειδή η ως άνω διαδικασία είναι νέα και τα διαθέσιμα επιστημονικά δεδομένα ανεπαρκή δεν δίνεται τη δυνατότητα ασφαλούς αξιολόγησης των κινδύνων. Συνεπώς, η πολιτική για τους ΓΤΟ πρέπει να στηρίζεται στην αρχή της προφύλαξης</w:t>
      </w:r>
      <w:r>
        <w:rPr>
          <w:rStyle w:val="FootnoteReference"/>
        </w:rPr>
        <w:footnoteReference w:id="21"/>
      </w:r>
      <w:r>
        <w:t>. Η αναγνώριση και εφαρμογή της εν λόγω αρχής από την Ε.Ε. είναι αυτή που διαφοροποιεί, κατά βάση, την τελευταία από τις Η.Π.Α</w:t>
      </w:r>
      <w:r>
        <w:rPr>
          <w:rStyle w:val="FootnoteReference"/>
        </w:rPr>
        <w:footnoteReference w:id="22"/>
      </w:r>
      <w:r>
        <w:t>.</w:t>
      </w:r>
      <w:r w:rsidRPr="00263871">
        <w:t xml:space="preserve"> </w:t>
      </w:r>
      <w:r>
        <w:t>Είναι αξιοσημείωτο ότι και η Αφρικανική Ένωση έχει μια παραπλήσια προς την Ε.Ε. στάση καθώς υιοθετεί την αρχή της προφύλαξης και τη λήψη υπόψη, εκτός των περιβαλλοντικών, των κοινωνικών και οικονομικών παραμέτρων</w:t>
      </w:r>
      <w:r>
        <w:rPr>
          <w:rStyle w:val="FootnoteReference"/>
        </w:rPr>
        <w:footnoteReference w:id="23"/>
      </w:r>
      <w:r>
        <w:t xml:space="preserve">. </w:t>
      </w:r>
    </w:p>
    <w:p w:rsidR="00742CAF" w:rsidRDefault="00742CAF" w:rsidP="00742CAF">
      <w:pPr>
        <w:numPr>
          <w:ilvl w:val="12"/>
          <w:numId w:val="0"/>
        </w:numPr>
        <w:spacing w:line="360" w:lineRule="auto"/>
        <w:jc w:val="both"/>
      </w:pPr>
      <w:r>
        <w:t xml:space="preserve"> </w:t>
      </w:r>
    </w:p>
    <w:p w:rsidR="00742CAF" w:rsidRDefault="00742CAF" w:rsidP="00742CAF">
      <w:pPr>
        <w:numPr>
          <w:ilvl w:val="12"/>
          <w:numId w:val="0"/>
        </w:numPr>
        <w:spacing w:line="360" w:lineRule="auto"/>
        <w:jc w:val="both"/>
      </w:pPr>
    </w:p>
    <w:p w:rsidR="00742CAF" w:rsidRDefault="00742CAF" w:rsidP="00742CAF">
      <w:pPr>
        <w:numPr>
          <w:ilvl w:val="12"/>
          <w:numId w:val="0"/>
        </w:numPr>
        <w:spacing w:line="360" w:lineRule="auto"/>
        <w:jc w:val="both"/>
      </w:pPr>
      <w:r>
        <w:lastRenderedPageBreak/>
        <w:t xml:space="preserve">       Επί πλέον, ένα άλλο στοιχείο το οποίο συμβάλλει στη διαφοροποίηση της κανονιστικής προσέγγισης των ΓΤΟ μεταξύ</w:t>
      </w:r>
      <w:r w:rsidRPr="00A538A9">
        <w:t xml:space="preserve"> </w:t>
      </w:r>
      <w:r>
        <w:t>της Ε.Ε και των Η.Π.Α. είναι ότι στην Ε.Ε., εκτός από την επιστημονική αξιολόγηση του κινδύνου, λαμβάνονται υπόψη και άλλοι παράγοντες όπως οι κοινωνικές και οικονομικές επιπτώσεις</w:t>
      </w:r>
      <w:r>
        <w:rPr>
          <w:rStyle w:val="FootnoteReference"/>
        </w:rPr>
        <w:footnoteReference w:id="24"/>
      </w:r>
      <w:r>
        <w:t>. Πρέπει, ωστόσο, να τονίσουμε ότι η παραπάνω (διευρυμένη)  κανονιστική προσέγγιση της Ε.Ε. αν και προβλέπεται από τη νομοθεσία εν τούτοις στην πράξη δεν λειτούργησε ικανοποιητικά με αποτέλεσμα να υπάρχουν αντιθέσεις και προστριβές μεταξύ των κρατών μελών και της Επιτροπής. Γι’ αυτόν ακριβώς το λόγο υιοθετήθηκε από την Επιτροπή  πρόταση για την τροποποίηση της οδηγίας 2001/18/ΕΚ</w:t>
      </w:r>
      <w:r>
        <w:rPr>
          <w:rStyle w:val="FootnoteReference"/>
        </w:rPr>
        <w:footnoteReference w:id="25"/>
      </w:r>
      <w:r>
        <w:t xml:space="preserve"> σύμφωνα με την οποία ένα κράτος μέλος θα μπορεί να περιορίσει ή να αρνηθεί την καλλιέργεια στο έδαφός του ΓΤΟ προβάλλοντας λόγους άλλους από εκείνους που αναφέρονται στις επιπτώσεις στην υγεία ή/και στο περιβάλλον</w:t>
      </w:r>
      <w:r>
        <w:rPr>
          <w:rStyle w:val="FootnoteReference"/>
        </w:rPr>
        <w:footnoteReference w:id="26"/>
      </w:r>
      <w:r>
        <w:t xml:space="preserve">. </w:t>
      </w:r>
    </w:p>
    <w:p w:rsidR="00742CAF" w:rsidRPr="00396CC8" w:rsidRDefault="00742CAF" w:rsidP="00742CAF">
      <w:pPr>
        <w:numPr>
          <w:ilvl w:val="12"/>
          <w:numId w:val="0"/>
        </w:numPr>
        <w:spacing w:line="360" w:lineRule="auto"/>
        <w:jc w:val="both"/>
      </w:pPr>
    </w:p>
    <w:p w:rsidR="00742CAF" w:rsidRDefault="00742CAF" w:rsidP="00742CAF">
      <w:pPr>
        <w:spacing w:line="360" w:lineRule="auto"/>
        <w:jc w:val="both"/>
      </w:pPr>
      <w:r>
        <w:t xml:space="preserve">     Επειδή πρόκειται για μια αναδυόμενη τεχνολογία είναι φυσικό να υπάρχουν διαφορετικές προσεγγίσεις και να δίνονται διαφορετικές απαντήσεις στα κεντρικά ερωτήματα όπως: Η σύγχρονη βιοτεχνολογία αποτελεί</w:t>
      </w:r>
      <w:r w:rsidRPr="005B31B3">
        <w:t xml:space="preserve"> συνέχεια ή ρήξη σε σχέση με τ</w:t>
      </w:r>
      <w:r>
        <w:t>ις κλασικές μεθόδους επιλογής; Ο</w:t>
      </w:r>
      <w:r w:rsidRPr="005B31B3">
        <w:t>ι ΓΤΟ συνοδεύονται από κινδύνους βλάβης του περιβάλλοντος και της υγείας του ανθρώπου ή όχι;</w:t>
      </w:r>
      <w:r w:rsidRPr="005B31B3">
        <w:rPr>
          <w:rStyle w:val="FootnoteReference"/>
        </w:rPr>
        <w:footnoteReference w:id="27"/>
      </w:r>
      <w:r w:rsidRPr="005B31B3">
        <w:t xml:space="preserve"> Η απάντηση </w:t>
      </w:r>
      <w:r>
        <w:t xml:space="preserve">που δίνεται </w:t>
      </w:r>
      <w:r w:rsidRPr="005B31B3">
        <w:t>σ’ αυτά τα ερωτήματα προσδιορίζει εάν και κατά πόσο είναι αναγκαίο να θεσπιστεί ένα ιδιαίτερο νομικό καθεστώς για τους ΓΤΟ.</w:t>
      </w:r>
      <w:r>
        <w:t xml:space="preserve">    </w:t>
      </w:r>
    </w:p>
    <w:p w:rsidR="00742CAF" w:rsidRDefault="00742CAF" w:rsidP="00742CAF">
      <w:pPr>
        <w:spacing w:line="360" w:lineRule="auto"/>
        <w:jc w:val="both"/>
      </w:pPr>
      <w:r>
        <w:t xml:space="preserve"> </w:t>
      </w:r>
    </w:p>
    <w:p w:rsidR="00742CAF" w:rsidRDefault="00742CAF" w:rsidP="00742CAF">
      <w:pPr>
        <w:spacing w:line="360" w:lineRule="auto"/>
        <w:jc w:val="both"/>
      </w:pPr>
      <w:r>
        <w:lastRenderedPageBreak/>
        <w:t xml:space="preserve">     </w:t>
      </w:r>
      <w:r w:rsidRPr="005B31B3">
        <w:t>Στον επιστημονικό τομέα υπάρχουν δύο εκ διαμέτρου αντίθετες απόψεις</w:t>
      </w:r>
      <w:r w:rsidRPr="005B31B3">
        <w:rPr>
          <w:rStyle w:val="FootnoteReference"/>
        </w:rPr>
        <w:footnoteReference w:id="28"/>
      </w:r>
      <w:r>
        <w:t>: Η πρώτη</w:t>
      </w:r>
      <w:r w:rsidRPr="005B31B3">
        <w:t xml:space="preserve"> θεωρεί ότι η γενετική μηχανική είναι συνέχεια των παραδοσιακών  τεχνικών</w:t>
      </w:r>
      <w:r w:rsidRPr="005B31B3">
        <w:rPr>
          <w:rStyle w:val="FootnoteReference"/>
        </w:rPr>
        <w:footnoteReference w:id="29"/>
      </w:r>
      <w:r>
        <w:t>.</w:t>
      </w:r>
      <w:r w:rsidRPr="005B31B3">
        <w:t xml:space="preserve"> </w:t>
      </w:r>
      <w:r>
        <w:t>Κατά συνέπεια, οι ΓΤΟ δεν είναι νέοι</w:t>
      </w:r>
      <w:r w:rsidRPr="005B31B3">
        <w:t xml:space="preserve"> ούτε περιέχουν νέους και ειδικούς κινδύνους, η οποιαδήποτε δε εκτίμηση πρέπει να γίνεται σε συνάρτηση με </w:t>
      </w:r>
      <w:r>
        <w:t xml:space="preserve">τους παραδοσιακούς οργανισμούς </w:t>
      </w:r>
      <w:r w:rsidRPr="005B31B3">
        <w:t>για τους οποίους υπάρχει μεγάλη εμπειρία</w:t>
      </w:r>
      <w:r w:rsidRPr="005B31B3">
        <w:rPr>
          <w:rStyle w:val="FootnoteReference"/>
        </w:rPr>
        <w:footnoteReference w:id="30"/>
      </w:r>
      <w:r>
        <w:t xml:space="preserve">. Επομένως, </w:t>
      </w:r>
      <w:r w:rsidRPr="005B31B3">
        <w:t xml:space="preserve"> δεν χρειάζεται να υιοθετηθούν </w:t>
      </w:r>
      <w:r>
        <w:t>νέες ρυθμίσεις για τους ΓΤΟ</w:t>
      </w:r>
      <w:r w:rsidRPr="005B31B3">
        <w:t xml:space="preserve"> αλλά αρκούν οι υπάρχουσες που εφαρμόζονται για όλα τα νέα προϊόντα που εισάγονται στην αγορά</w:t>
      </w:r>
      <w:r w:rsidRPr="005B31B3">
        <w:rPr>
          <w:rStyle w:val="FootnoteReference"/>
        </w:rPr>
        <w:footnoteReference w:id="31"/>
      </w:r>
      <w:r w:rsidRPr="005B31B3">
        <w:t xml:space="preserve">. Αυτή είναι η </w:t>
      </w:r>
      <w:r>
        <w:t>επικρατούσα αντίληψη</w:t>
      </w:r>
      <w:r w:rsidRPr="005B31B3">
        <w:t xml:space="preserve"> στις Η</w:t>
      </w:r>
      <w:r>
        <w:t>.</w:t>
      </w:r>
      <w:r w:rsidRPr="005B31B3">
        <w:t>Π</w:t>
      </w:r>
      <w:r>
        <w:t>.</w:t>
      </w:r>
      <w:r w:rsidRPr="005B31B3">
        <w:t>Α</w:t>
      </w:r>
      <w:r>
        <w:t>.</w:t>
      </w:r>
      <w:r w:rsidRPr="00847BD5">
        <w:t xml:space="preserve"> </w:t>
      </w:r>
      <w:r>
        <w:t>καθώς οι εκεί ισχύουσες ρυθμίσεις είναι γενικού χαρακτήρα και αφορούν και σε άλλα προϊόντα</w:t>
      </w:r>
      <w:r>
        <w:rPr>
          <w:rStyle w:val="FootnoteReference"/>
        </w:rPr>
        <w:footnoteReference w:id="32"/>
      </w:r>
      <w:r w:rsidRPr="005B31B3">
        <w:t>.</w:t>
      </w:r>
    </w:p>
    <w:p w:rsidR="00742CAF" w:rsidRPr="005B31B3" w:rsidRDefault="00742CAF" w:rsidP="00742CAF">
      <w:pPr>
        <w:spacing w:line="360" w:lineRule="auto"/>
        <w:jc w:val="both"/>
      </w:pPr>
    </w:p>
    <w:p w:rsidR="00742CAF" w:rsidRDefault="00742CAF" w:rsidP="00742CAF">
      <w:pPr>
        <w:spacing w:line="360" w:lineRule="auto"/>
        <w:jc w:val="both"/>
      </w:pPr>
      <w:r>
        <w:t xml:space="preserve">    Η δεύτερη άποψη</w:t>
      </w:r>
      <w:r w:rsidRPr="005B31B3">
        <w:t xml:space="preserve"> θεωρεί ότι οι τεχνικές της μοριακής βιολογίας δημιουργούν οργανισμούς που συνεπάγονται ενδεχόμενους κινδύνους οι οποίοι αφορούν τόσο στην υγεία του ανθρώπου (π.χ., κίνδυνος αλλεργιών</w:t>
      </w:r>
      <w:r>
        <w:t xml:space="preserve"> ή τοξινώσεων</w:t>
      </w:r>
      <w:r w:rsidRPr="005B31B3">
        <w:t xml:space="preserve"> από τη</w:t>
      </w:r>
      <w:r>
        <w:t>ν</w:t>
      </w:r>
      <w:r w:rsidRPr="005B31B3">
        <w:t xml:space="preserve"> κατανάλωση ΓΤΟ</w:t>
      </w:r>
      <w:r w:rsidRPr="005B31B3">
        <w:rPr>
          <w:rStyle w:val="FootnoteReference"/>
        </w:rPr>
        <w:footnoteReference w:id="33"/>
      </w:r>
      <w:r>
        <w:t>)</w:t>
      </w:r>
      <w:r w:rsidRPr="005B31B3">
        <w:t xml:space="preserve"> όσο και στο περιβάλλον (π.χ., κίνδυνος μείωσης ή καταστροφής της βιοποικιλότητας, λόγω της δυνατότητας να μεταβιβασθεί η γενετική πληροφορία που φέρει ένας ΓΤΟ σε άλλα είδη</w:t>
      </w:r>
      <w:r w:rsidRPr="005B31B3">
        <w:rPr>
          <w:rStyle w:val="FootnoteReference"/>
        </w:rPr>
        <w:footnoteReference w:id="34"/>
      </w:r>
      <w:r w:rsidRPr="005B31B3">
        <w:t>)</w:t>
      </w:r>
      <w:r>
        <w:t>.</w:t>
      </w:r>
      <w:r w:rsidRPr="005B31B3">
        <w:t xml:space="preserve"> Η ιδιαιτερότητα των</w:t>
      </w:r>
      <w:r>
        <w:t xml:space="preserve"> σχετιζόμενων</w:t>
      </w:r>
      <w:r w:rsidRPr="00464867">
        <w:t xml:space="preserve"> </w:t>
      </w:r>
      <w:r w:rsidRPr="005B31B3">
        <w:t xml:space="preserve">με τους ΓΤΟ κινδύνων δεν εντοπίζεται μόνο στην ύπαρξη ενός νέου γονιδίου σ’ ένα φυτό ή μίας πρωτεΐνης που περιέχεται σε </w:t>
      </w:r>
      <w:r>
        <w:t>τρόφιμα προερχόμενα ή αποτελούμενα από ΓΤΟ.</w:t>
      </w:r>
      <w:r w:rsidRPr="005B31B3">
        <w:t xml:space="preserve"> </w:t>
      </w:r>
      <w:r>
        <w:t>Επί πλέον,</w:t>
      </w:r>
      <w:r w:rsidRPr="005B31B3">
        <w:t xml:space="preserve"> αφορά στο σύνολο του τρόπου παραγωγής τους, από τη φύτευσή τους μέχρι τη</w:t>
      </w:r>
      <w:r>
        <w:t>ν</w:t>
      </w:r>
      <w:r w:rsidRPr="005B31B3">
        <w:t xml:space="preserve"> τελική κατανάλωση</w:t>
      </w:r>
      <w:r w:rsidRPr="005B31B3">
        <w:rPr>
          <w:rStyle w:val="FootnoteReference"/>
        </w:rPr>
        <w:footnoteReference w:id="35"/>
      </w:r>
      <w:r w:rsidRPr="005B31B3">
        <w:t>. Με άλλες λέξεις, οι ΓΤΟ σ</w:t>
      </w:r>
      <w:r>
        <w:t>υμπυκνώνουν μια πολύπλοκη σχέση</w:t>
      </w:r>
      <w:r w:rsidRPr="005B31B3">
        <w:t xml:space="preserve"> η οποία συνδέει το περιβάλ</w:t>
      </w:r>
      <w:r>
        <w:t>λον και την υγεία του ανθρώπου με τη</w:t>
      </w:r>
      <w:r w:rsidRPr="005B31B3">
        <w:t xml:space="preserve"> διατροφική </w:t>
      </w:r>
      <w:r w:rsidRPr="005B31B3">
        <w:lastRenderedPageBreak/>
        <w:t>ασφάλεια και το μοντέλο των γεωργικών εκμεταλλεύσεων</w:t>
      </w:r>
      <w:r w:rsidRPr="005B31B3">
        <w:rPr>
          <w:rStyle w:val="FootnoteReference"/>
        </w:rPr>
        <w:footnoteReference w:id="36"/>
      </w:r>
      <w:r w:rsidRPr="005B31B3">
        <w:t xml:space="preserve">. </w:t>
      </w:r>
      <w:r>
        <w:t>Με αυτή την έννοια, οι ΓΤΟ αποτελούν, σε τελική ανάλυση, ένα ζήτημα με σημαντικές πολιτικές προεκτάσεις, οι οποίες το καθιστούν ακόμη πιο πολύπλοκο</w:t>
      </w:r>
      <w:r>
        <w:rPr>
          <w:rStyle w:val="FootnoteReference"/>
        </w:rPr>
        <w:footnoteReference w:id="37"/>
      </w:r>
      <w:r>
        <w:t>.</w:t>
      </w:r>
    </w:p>
    <w:p w:rsidR="00742CAF" w:rsidRDefault="00742CAF" w:rsidP="00742CAF">
      <w:pPr>
        <w:spacing w:line="360" w:lineRule="auto"/>
        <w:jc w:val="both"/>
      </w:pPr>
    </w:p>
    <w:p w:rsidR="00742CAF" w:rsidRDefault="00742CAF" w:rsidP="00742CAF">
      <w:pPr>
        <w:spacing w:line="360" w:lineRule="auto"/>
        <w:jc w:val="both"/>
      </w:pPr>
      <w:r>
        <w:t xml:space="preserve">     Επειδή αφενός μεν η σύγχρονη βιοτεχνολογία αποτελεί αυτή καθαυτή ένα πολύπλοκο ζήτημα στο οποίο συνυπάρχουν τόσο η επιστημονική γνώση όσο και οι αξιακές παράμετροι αφετέρου δε οι συγκεκριμένες εφαρμογές της οδηγούν στην παραγωγή αγαθών για τα οποία εκφράζονται αντίθετες ή αποκλίνουσες απόψεις, οι σχετικές ρυθμίσεις δεν ακολουθούν τα πρότυπα των παραδοσιακών κανονιστικών προσεγγίσεων. Η σύγχρονη έννοια της  Διακυβέρνησης διαδραματίζει σημαντικό ρόλο στην αντιμετώπιση των αναφυόμενων ζητημάτων καθόσον προσφέρει τα εργαλεία για μια νέα νομική και ευρύτερη θεσμική αντιμετώπιση. Εν προκειμένω, με τον όρο Διακυβέρνηση εννοούμε το θεσμικό πλαίσιο το οποίο συμπεριλαμβάνει το σύνολο των παραγόντων, λόγων, δομών και διαδικασιών που εμπλέκονται μεταξύ τους κατά την καθοδήγηση,  τη διαμόρφωση και την εφαρμογή των αποφάσεων σχετικά με τη νέα τεχνολογία</w:t>
      </w:r>
      <w:r>
        <w:rPr>
          <w:rStyle w:val="FootnoteReference"/>
        </w:rPr>
        <w:footnoteReference w:id="38"/>
      </w:r>
      <w:r>
        <w:t>. Η Διακυβέρνηση και συγκεκριμένα η Διακυβέρνηση του Κινδύνου ή Περιβαλλοντική Διακυβέρνηση αντικαθιστά το μοντέλο της αυστηρής, από τα πάνω προς τα κάτω, παρέμβασης</w:t>
      </w:r>
      <w:r>
        <w:rPr>
          <w:rStyle w:val="FootnoteReference"/>
        </w:rPr>
        <w:footnoteReference w:id="39"/>
      </w:r>
      <w:r>
        <w:t xml:space="preserve"> το οποίο έχει υποστεί κριτική για τις αδυναμίες του σχετικά με τη λήψη και την εφαρμογή των αποφάσεων</w:t>
      </w:r>
      <w:r w:rsidRPr="00234983">
        <w:t xml:space="preserve">. </w:t>
      </w:r>
      <w:r>
        <w:t>Συγκεκριμένα, η Διακυβέρνηση του Κινδύνου αναζητεί τους συλλογικούς τρόπους με τους οποίους θεσμοί και άτομα πρέπει να αντιμετωπίζουν τους κινδύνους που χαρακτηρίζονται από αβεβαιότητα και πολυπλοκότητα</w:t>
      </w:r>
      <w:r>
        <w:rPr>
          <w:rStyle w:val="FootnoteReference"/>
        </w:rPr>
        <w:footnoteReference w:id="40"/>
      </w:r>
      <w:r>
        <w:t>.</w:t>
      </w:r>
    </w:p>
    <w:p w:rsidR="00742CAF" w:rsidRDefault="00742CAF" w:rsidP="00742CAF">
      <w:pPr>
        <w:spacing w:line="360" w:lineRule="auto"/>
        <w:jc w:val="both"/>
      </w:pPr>
    </w:p>
    <w:p w:rsidR="00742CAF" w:rsidRDefault="00742CAF" w:rsidP="00742CAF">
      <w:pPr>
        <w:spacing w:line="360" w:lineRule="auto"/>
        <w:jc w:val="both"/>
      </w:pPr>
      <w:r>
        <w:t xml:space="preserve">     Μερικών η κριτική εστιάζεται στο ότι η παραδοσιακή κανονιστική μέθοδος εμποδίζει την καινοτομία και αυξάνει το κόστος εφαρμογής των ρυθμίσεων. Πρόκειται για όσους υιοθετούν ως εναλλακτική λύση απέναντι στο ως άνω μοντέλο τις μεταρρυθμίσεις που έχουν να κάνουν με τη δημιουργία μηχανισμών που στηρίζονται στην αγορά (π.χ., φόροι, σύστημα καθορισμού ποσοστώσεων και εμπορίας κλπ).  Άλλων</w:t>
      </w:r>
      <w:r w:rsidRPr="00361081">
        <w:t xml:space="preserve"> </w:t>
      </w:r>
      <w:r>
        <w:t>η κριτική εστιάζεται στο ότι η ως άνω μέθοδος δεν λαμβάνει υπόψη της τις τοπικές ή εθνικές ιδιαιτερότητες,  τις διαρκώς ανανεωνόμενες αντιλήψεις των πολιτών σχετικά με τους περιβαλλοντικούς κινδύνους και υιοθετούν ως εναλλακτική λύση την αποκεντρωμένη και συνεργατική διαχείριση και τη δημόσια συμμετοχή</w:t>
      </w:r>
      <w:r>
        <w:rPr>
          <w:rStyle w:val="FootnoteReference"/>
        </w:rPr>
        <w:footnoteReference w:id="41"/>
      </w:r>
      <w:r>
        <w:t>. Η Περιβαλλοντική Διακυβέρνηση υπό τις παραπάνω εκδοχές της αποτελεί πραγματικότητα σε εθνικά κανονιστικά συστήματα όπως στις Η.Π.Α. και σε άλλες αναπτυγμένες χώρες</w:t>
      </w:r>
      <w:r>
        <w:rPr>
          <w:rStyle w:val="FootnoteReference"/>
        </w:rPr>
        <w:footnoteReference w:id="42"/>
      </w:r>
      <w:r>
        <w:t xml:space="preserve"> και σε υπερεθνικά συστήματα, όπως στην Ε.Ε.</w:t>
      </w:r>
      <w:r>
        <w:rPr>
          <w:rStyle w:val="FootnoteReference"/>
        </w:rPr>
        <w:footnoteReference w:id="43"/>
      </w:r>
    </w:p>
    <w:p w:rsidR="00742CAF" w:rsidRDefault="00742CAF" w:rsidP="00742CAF">
      <w:pPr>
        <w:spacing w:line="360" w:lineRule="auto"/>
        <w:jc w:val="both"/>
      </w:pPr>
    </w:p>
    <w:p w:rsidR="00742CAF" w:rsidRPr="00B720C9" w:rsidRDefault="00742CAF" w:rsidP="00742CAF">
      <w:pPr>
        <w:spacing w:line="360" w:lineRule="auto"/>
        <w:jc w:val="both"/>
      </w:pPr>
      <w:r>
        <w:t>Πρέπει, επί πλέον, να σημειωθεί ότι,</w:t>
      </w:r>
      <w:r w:rsidRPr="004745DE">
        <w:t xml:space="preserve"> </w:t>
      </w:r>
      <w:r>
        <w:t xml:space="preserve">πέραν της Ε.Ε.,  διάφοροι διεθνείς οργανισμοί, όπως ο ΠΟΕ, ο ΟΟΣΑ, ο </w:t>
      </w:r>
      <w:r>
        <w:rPr>
          <w:lang w:val="en-US"/>
        </w:rPr>
        <w:t>FAO</w:t>
      </w:r>
      <w:r w:rsidRPr="00B720C9">
        <w:t xml:space="preserve">, </w:t>
      </w:r>
      <w:r>
        <w:rPr>
          <w:lang w:val="en-US"/>
        </w:rPr>
        <w:t>o</w:t>
      </w:r>
      <w:r w:rsidRPr="00B720C9">
        <w:t xml:space="preserve"> </w:t>
      </w:r>
      <w:r>
        <w:rPr>
          <w:lang w:val="en-US"/>
        </w:rPr>
        <w:t>Codex</w:t>
      </w:r>
      <w:r w:rsidRPr="00B720C9">
        <w:t xml:space="preserve"> </w:t>
      </w:r>
      <w:r>
        <w:rPr>
          <w:lang w:val="en-US"/>
        </w:rPr>
        <w:t>Alimentarius</w:t>
      </w:r>
      <w:r>
        <w:t xml:space="preserve"> κ.ά. στα πλαίσια των δραστηριοτήτων τους δημιουργούν θεσμούς  όπως, οι μηχανισμοί επίλυσης διαφορών, η θέσπιση κανόνων ή κωδίκων καλής συμπεριφοράς, η δικτύωση και ο συντονισμός τους, η θέσπιση </w:t>
      </w:r>
      <w:r>
        <w:rPr>
          <w:lang w:val="en-US"/>
        </w:rPr>
        <w:t>standards</w:t>
      </w:r>
      <w:r w:rsidRPr="001C197F">
        <w:t xml:space="preserve"> </w:t>
      </w:r>
      <w:r>
        <w:t>για τη διευκόλυνση του εμπορίου κλπ  που υποδηλώνουν ότι υπάρχει -σε ένα βαθμό- διεθνής διακυβέρνηση</w:t>
      </w:r>
      <w:r>
        <w:rPr>
          <w:rStyle w:val="FootnoteReference"/>
        </w:rPr>
        <w:footnoteReference w:id="44"/>
      </w:r>
      <w:r>
        <w:t>. Η</w:t>
      </w:r>
      <w:r w:rsidRPr="008761C3">
        <w:t xml:space="preserve"> νομική μεταχείριση των ΓΤΟ λαμβάνει χώρα σε ένα </w:t>
      </w:r>
      <w:r>
        <w:t xml:space="preserve">τέτοιο </w:t>
      </w:r>
      <w:r w:rsidRPr="008761C3">
        <w:t>τοπίο</w:t>
      </w:r>
      <w:r>
        <w:t>,</w:t>
      </w:r>
      <w:r w:rsidRPr="008761C3">
        <w:t xml:space="preserve"> το οποίο χαρακτηρίζεται από την επικράτηση της παγκοσμιοποιημένης αγοράς και την ύπαρξη διαφορετικών εθνικών, διεθνών ή υπερεθνικών κανονιστικών καθεστώτων.</w:t>
      </w:r>
      <w:r>
        <w:t xml:space="preserve"> Αυτό, λοιπόν, το πλαίσιο της πολυεπίπεδης εθνικής, υπερεθνικής και διεθνούς διακυβέρνησης των ΓΤΟ αποτελεί το αντικείμενο της παρούσας μελέτης.</w:t>
      </w:r>
    </w:p>
    <w:p w:rsidR="00742CAF" w:rsidRPr="005B31B3" w:rsidRDefault="00742CAF" w:rsidP="00742CAF">
      <w:pPr>
        <w:spacing w:line="360" w:lineRule="auto"/>
        <w:jc w:val="both"/>
      </w:pPr>
    </w:p>
    <w:p w:rsidR="00742CAF" w:rsidRDefault="00742CAF" w:rsidP="00742CAF">
      <w:pPr>
        <w:numPr>
          <w:ilvl w:val="12"/>
          <w:numId w:val="0"/>
        </w:numPr>
        <w:spacing w:line="360" w:lineRule="auto"/>
        <w:jc w:val="both"/>
      </w:pPr>
      <w:r w:rsidRPr="005B31B3">
        <w:t xml:space="preserve"> </w:t>
      </w:r>
      <w:r>
        <w:t xml:space="preserve">   Ειδικότερα,</w:t>
      </w:r>
      <w:r w:rsidRPr="005B31B3">
        <w:t xml:space="preserve"> θα αναφερθούμε</w:t>
      </w:r>
      <w:r>
        <w:t>,</w:t>
      </w:r>
      <w:r w:rsidRPr="0055211A">
        <w:t xml:space="preserve"> </w:t>
      </w:r>
      <w:r w:rsidRPr="005B31B3">
        <w:t>αρχικά</w:t>
      </w:r>
      <w:r>
        <w:t>,</w:t>
      </w:r>
      <w:r w:rsidRPr="005B31B3">
        <w:t xml:space="preserve"> στις ρυθμίσεις</w:t>
      </w:r>
      <w:r>
        <w:t xml:space="preserve"> και στο γενικότερο κανονιστικό σύστημα των Η</w:t>
      </w:r>
      <w:r w:rsidRPr="004922C4">
        <w:t>.</w:t>
      </w:r>
      <w:r>
        <w:t>Π</w:t>
      </w:r>
      <w:r w:rsidRPr="004922C4">
        <w:t>.</w:t>
      </w:r>
      <w:r>
        <w:t xml:space="preserve">Α. Είναι απαραίτητο να προηγηθεί η ανάλυση των ως </w:t>
      </w:r>
      <w:r>
        <w:lastRenderedPageBreak/>
        <w:t>άνω ρυθμίσεων διότι η πολιτική των Η</w:t>
      </w:r>
      <w:r w:rsidRPr="004922C4">
        <w:t>.</w:t>
      </w:r>
      <w:r>
        <w:t>Π</w:t>
      </w:r>
      <w:r w:rsidRPr="004922C4">
        <w:t>.</w:t>
      </w:r>
      <w:r>
        <w:t>Α</w:t>
      </w:r>
      <w:r w:rsidRPr="004922C4">
        <w:t>.</w:t>
      </w:r>
      <w:r>
        <w:t>, λόγω του ιδιαίτερου βάρους που διαθέτει στη διεθνή σκηνή,  καθορίζει σε μεγάλο βαθμό το εύρος των ρυθμίσεων του διεθνούς δικαίου σε σχέση τόσο με το περιβάλλον όσο και με το διεθνές εμπόριο. Επομένως, η γνώση του δικαίου και της πολιτικής των Η</w:t>
      </w:r>
      <w:r w:rsidRPr="004922C4">
        <w:t>.</w:t>
      </w:r>
      <w:r>
        <w:t>Π</w:t>
      </w:r>
      <w:r w:rsidRPr="004922C4">
        <w:t>.</w:t>
      </w:r>
      <w:r>
        <w:t>Α</w:t>
      </w:r>
      <w:r w:rsidRPr="004922C4">
        <w:t>.</w:t>
      </w:r>
      <w:r>
        <w:t xml:space="preserve"> στο πεδίο των ΓΤΟ και της βιοτεχνολογίας γενικότερα θα μας δώσει τη δυνατότητα να κατανοήσουμε καλύτερα το πώς δομείται το διεθνές δίκαιο σε αυτό το πεδίο, ποια είναι τα ισχυρά και ποια τα αδύνατα του σημεία και, τέλος, ποια είναι τα ουσιαστικά διακυβεύματα των δικαστικών διαφορών κυρίως στα πλαίσια του ΠΟΕ (ΙΙ). </w:t>
      </w:r>
    </w:p>
    <w:p w:rsidR="00742CAF" w:rsidRDefault="00742CAF" w:rsidP="00742CAF">
      <w:pPr>
        <w:numPr>
          <w:ilvl w:val="12"/>
          <w:numId w:val="0"/>
        </w:numPr>
        <w:spacing w:line="360" w:lineRule="auto"/>
        <w:jc w:val="both"/>
      </w:pPr>
    </w:p>
    <w:p w:rsidR="00742CAF" w:rsidRDefault="00742CAF" w:rsidP="00742CAF">
      <w:pPr>
        <w:numPr>
          <w:ilvl w:val="12"/>
          <w:numId w:val="0"/>
        </w:numPr>
        <w:spacing w:line="360" w:lineRule="auto"/>
        <w:jc w:val="both"/>
      </w:pPr>
      <w:r>
        <w:t xml:space="preserve">     Ακολούθως, θα αναλύσουμε -στα βασικά τους σημεία- τις ρυθμίσεις</w:t>
      </w:r>
      <w:r w:rsidRPr="005B31B3">
        <w:t xml:space="preserve"> που περιλαμβάνονται στο διεθνές δίκαιο</w:t>
      </w:r>
      <w:r>
        <w:t>. Ειδικότερα, θα αναφερθούμε αφενός μεν σ</w:t>
      </w:r>
      <w:r w:rsidRPr="005B31B3">
        <w:t>το Πρωτόκολλο της Καρθαγένης</w:t>
      </w:r>
      <w:r>
        <w:t xml:space="preserve"> το οποίο αποτελεί το βασικό θεσμικό πυλώνα των διεθνών ρυθμίσεων σχετικά με τους ΓΤΟ</w:t>
      </w:r>
      <w:r>
        <w:rPr>
          <w:rStyle w:val="FootnoteReference"/>
        </w:rPr>
        <w:footnoteReference w:id="45"/>
      </w:r>
      <w:r>
        <w:t xml:space="preserve"> αφετέρου δε</w:t>
      </w:r>
      <w:r w:rsidRPr="005B31B3">
        <w:t xml:space="preserve"> </w:t>
      </w:r>
      <w:r>
        <w:t>σ</w:t>
      </w:r>
      <w:r w:rsidRPr="005B31B3">
        <w:t>το δίκαιο του ΠΟΕ</w:t>
      </w:r>
      <w:r>
        <w:t xml:space="preserve"> (νομοθετικό πλαίσιο και νομολογία) το οποίο αποτελεί το σοβαρό αντίβαρο του πρώτου </w:t>
      </w:r>
      <w:r w:rsidRPr="005B31B3">
        <w:t>(</w:t>
      </w:r>
      <w:r>
        <w:rPr>
          <w:lang w:val="en-US"/>
        </w:rPr>
        <w:t>I</w:t>
      </w:r>
      <w:r w:rsidRPr="005B31B3">
        <w:rPr>
          <w:lang w:val="en-US"/>
        </w:rPr>
        <w:t>I</w:t>
      </w:r>
      <w:r>
        <w:t>Ι</w:t>
      </w:r>
      <w:r w:rsidRPr="005B31B3">
        <w:t>).</w:t>
      </w:r>
      <w:r>
        <w:t xml:space="preserve"> Η αντιπαραβολή των δύο ρυθμιστικών πλαισίων θα καταδείξει τις διαφορές αλλά και τις συγκλίσεις μεταξύ τους, πράγμα που θα μας επιτρέψει να αξιολογήσουμε εάν και σε ποιο βαθμό μπορούν να συνυπάρξουν δημιουργικά.</w:t>
      </w:r>
      <w:r w:rsidRPr="005B31B3">
        <w:t xml:space="preserve"> </w:t>
      </w:r>
      <w:r>
        <w:t>Στη συνέχεια</w:t>
      </w:r>
      <w:r w:rsidRPr="005B31B3">
        <w:t xml:space="preserve"> θα </w:t>
      </w:r>
      <w:r>
        <w:t>μας απασχολήσουν οι</w:t>
      </w:r>
      <w:r w:rsidRPr="005B31B3">
        <w:t xml:space="preserve"> βασικές ρυθμίσεις που περιλαμβάνονται στο δίκαιο</w:t>
      </w:r>
      <w:r>
        <w:t xml:space="preserve"> της Ε.Ε. και το γενικότερο κανονιστικό πλαίσιο σχετικά με τη λήψη των αποφάσεων. Η ανάλυση των παραπάνω ρυθμίσεων θα μας επιτρέψει να κατανοήσουμε τον σχετικά ιδιαίτερο τρόπο με τον οποίο αντιμετωπίζει η Ε.Ε. το ζήτημα των ΓΤΟ όπως επίσης και τις δυσκολίες εφαρμογής τους, οι οποίες έχουν να κάνουν κυρίως με τη διαφορετική στάση –σε πολλές περιπτώσεις- μεταξύ των κρατών μελών και της Επιτροπής </w:t>
      </w:r>
      <w:r w:rsidRPr="005B31B3">
        <w:t>(</w:t>
      </w:r>
      <w:r>
        <w:rPr>
          <w:lang w:val="en-US"/>
        </w:rPr>
        <w:t>IV</w:t>
      </w:r>
      <w:r w:rsidRPr="005B31B3">
        <w:t>)</w:t>
      </w:r>
      <w:r>
        <w:t>.</w:t>
      </w:r>
      <w:r w:rsidRPr="005B31B3">
        <w:t xml:space="preserve"> </w:t>
      </w:r>
    </w:p>
    <w:p w:rsidR="00742CAF" w:rsidRDefault="00742CAF" w:rsidP="00742CAF">
      <w:pPr>
        <w:numPr>
          <w:ilvl w:val="12"/>
          <w:numId w:val="0"/>
        </w:numPr>
        <w:spacing w:line="360" w:lineRule="auto"/>
        <w:jc w:val="both"/>
      </w:pPr>
    </w:p>
    <w:p w:rsidR="00742CAF" w:rsidRPr="00235DBC" w:rsidRDefault="00742CAF" w:rsidP="00742CAF">
      <w:pPr>
        <w:numPr>
          <w:ilvl w:val="12"/>
          <w:numId w:val="0"/>
        </w:numPr>
        <w:spacing w:line="360" w:lineRule="auto"/>
        <w:jc w:val="both"/>
      </w:pPr>
      <w:r>
        <w:t xml:space="preserve">    Θα ακολουθήσουν δύο ειδικότερες αλλά πολύ σημαντικές πλευρές του θεσμικού οικοδομήματος της Ε.Ε. για τους ΓΤΟ. Η πρώτη αφορά στη διαδικασία πριν από την έγκριση και η δεύτερη στη διαδικασία γύρω και μετά από την έγκριση ενός ΓΤΟ. Έτσι, αρχικά, η ανάλυση του θεσμικού πλαισίου της αξιολόγησης του κινδύνου στην Ε.Ε. θα μας δώσει τη δυνατότητα να αντιληφθούμε το ειδικό βάρος που έχει η ως άνω </w:t>
      </w:r>
      <w:r>
        <w:lastRenderedPageBreak/>
        <w:t xml:space="preserve">αξιολόγηση στην εν γένει διαδικασία -η οποία καταλήγει στην έγκριση ενός ΓΤΟ- και πώς συναρθρώνεται με άλλους ‘‘θεμιτούς παράγοντες’’. Ο τρόπος που διενεργείται η αξιολόγηση του κινδύνου, η μέθοδος που ακολουθείται και τα πολλαπλά προβλήματα που αναφύονται αποτελούν τα ειδικότερα αντικείμενα της μελέτης σε αυτό το στάδιο </w:t>
      </w:r>
      <w:r w:rsidRPr="00435E73">
        <w:t>(</w:t>
      </w:r>
      <w:r>
        <w:rPr>
          <w:lang w:val="en-US"/>
        </w:rPr>
        <w:t>V</w:t>
      </w:r>
      <w:r w:rsidRPr="00435E73">
        <w:t>)</w:t>
      </w:r>
      <w:r>
        <w:t>.</w:t>
      </w:r>
      <w:r w:rsidRPr="00435E73">
        <w:t xml:space="preserve"> </w:t>
      </w:r>
      <w:r>
        <w:t>Ακολούθως η ενασχόληση με το ζήτημα της συνύπαρξης και με βασικές παραμέτρους της (όπως η αστική ευθύνη ή η ευρεσιτεχνία) θα μάς δείξει ότι η νομοθεσία για τους ΓΤΟ δεν εξαντλείται στην έγκριση αλλά επεκτείνεται και σε ζητήματα που ανακύπτουν γύρω και μετά από την έγκριση. Αυτό, ειδικότερα, θα μάς επιτρέψει να διαπιστώσουμε ότι η προσέγγιση των</w:t>
      </w:r>
      <w:r w:rsidRPr="00F44206">
        <w:t xml:space="preserve"> </w:t>
      </w:r>
      <w:r>
        <w:t>παραπάνω βασικών παραμέτρων δίνει τη δυνατότητα να αναδείξουμε τα αυστηρώς νομικοπολιτικά προβλήματα των ΓΤΟ και τις διεξόδους που προσφέρονται (</w:t>
      </w:r>
      <w:r>
        <w:rPr>
          <w:lang w:val="en-US"/>
        </w:rPr>
        <w:t>VI</w:t>
      </w:r>
      <w:r>
        <w:t>).</w:t>
      </w:r>
    </w:p>
    <w:p w:rsidR="00742CAF" w:rsidRDefault="00742CAF" w:rsidP="00742CAF">
      <w:pPr>
        <w:numPr>
          <w:ilvl w:val="12"/>
          <w:numId w:val="0"/>
        </w:numPr>
        <w:spacing w:line="360" w:lineRule="auto"/>
        <w:jc w:val="both"/>
      </w:pPr>
    </w:p>
    <w:p w:rsidR="00742CAF" w:rsidRDefault="00742CAF" w:rsidP="00742CAF">
      <w:pPr>
        <w:numPr>
          <w:ilvl w:val="12"/>
          <w:numId w:val="0"/>
        </w:numPr>
        <w:spacing w:line="360" w:lineRule="auto"/>
        <w:jc w:val="both"/>
      </w:pPr>
      <w:r w:rsidRPr="005B31B3">
        <w:t xml:space="preserve"> </w:t>
      </w:r>
      <w:r>
        <w:t xml:space="preserve">    Η</w:t>
      </w:r>
      <w:r w:rsidRPr="005B31B3">
        <w:t xml:space="preserve"> σχέση των </w:t>
      </w:r>
      <w:r>
        <w:t>ευρωπαϊκών</w:t>
      </w:r>
      <w:r w:rsidRPr="005B31B3">
        <w:t xml:space="preserve"> ρυθμίσεων με εκείνες των κρατών μελών και του Πρωτοκόλλου της Καρθαγένης</w:t>
      </w:r>
      <w:r>
        <w:t xml:space="preserve"> αποτελούν αντικείμενο ιδιαίτερης ανάλυσης καθώς οι ΓΤΟ είναι εμβληματική περίπτωση της διαπλοκής όλων των εννόμων τάξεων (εθνική, υπερεθνική, διεθνής). Η αποσαφήνιση των σχέσεων και, κατ’ επέκταση, του πεδίου εφαρμογής τους θα συμβάλει στην απομείωση των εντάσεων που προκύπτουν από τις σχετικές αμφισβητήσεις ή διαφωνίες </w:t>
      </w:r>
      <w:r w:rsidRPr="005B31B3">
        <w:t>(</w:t>
      </w:r>
      <w:r w:rsidRPr="005B31B3">
        <w:rPr>
          <w:lang w:val="en-US"/>
        </w:rPr>
        <w:t>V</w:t>
      </w:r>
      <w:r>
        <w:t>ΙΙ</w:t>
      </w:r>
      <w:r w:rsidRPr="005B31B3">
        <w:t xml:space="preserve">). Τέλος, θα </w:t>
      </w:r>
      <w:r>
        <w:t>καταθέσουμε</w:t>
      </w:r>
      <w:r w:rsidRPr="005B31B3">
        <w:t xml:space="preserve"> μερικά βασικά συμπεράσματα</w:t>
      </w:r>
      <w:r>
        <w:t xml:space="preserve"> αναφορικά με το εύρος του ζητήματος των ΓΤΟ και με τις δυνατότητες λύσεων που προσφέρονται και οι οποίες, εκτός των άλλων, έχουν το χαρακτηριστικό ότι ανταποκρίνονται ή σέβονται τις προτιμήσεις των πολιτών. </w:t>
      </w:r>
    </w:p>
    <w:p w:rsidR="00742CAF" w:rsidRDefault="00742CAF" w:rsidP="00742CAF">
      <w:pPr>
        <w:numPr>
          <w:ilvl w:val="12"/>
          <w:numId w:val="0"/>
        </w:numPr>
        <w:spacing w:line="360" w:lineRule="auto"/>
        <w:jc w:val="both"/>
      </w:pPr>
    </w:p>
    <w:p w:rsidR="00742CAF" w:rsidRDefault="00742CAF" w:rsidP="00742CAF">
      <w:pPr>
        <w:numPr>
          <w:ilvl w:val="12"/>
          <w:numId w:val="0"/>
        </w:numPr>
        <w:spacing w:line="360" w:lineRule="auto"/>
        <w:jc w:val="both"/>
      </w:pPr>
      <w:r>
        <w:t xml:space="preserve">    Το ερώτημα που διατρέχει την ανά χείρας μελέτη και επανέρχεται συνεχώς είναι κατά πόσο η συνολική κανονιστική διαδικασία στην οποία υπόκεινται οι ΓΤΟ,</w:t>
      </w:r>
      <w:r w:rsidRPr="001B27FE">
        <w:t xml:space="preserve"> </w:t>
      </w:r>
      <w:r>
        <w:t xml:space="preserve">είναι σε θέση να λαμβάνει υπόψη όχι μόνο τα επιστημονικά αλλά και τα κοινωνικά, ηθικά, οικονομικά και πολιτικά διλήμματα που θέτει η αγροτική βιοτεχνολογία. Ο γενικότερος προβληματισμός που αναπτύσσεται με επίκεντρο τα ως άνω διλήμματα και ο οποίος στηρίζεται σε μια νέα θεώρηση των σχέσεων της επιστήμης, του δικαίου και της πολιτικής στο πλαίσιο μιας πολυεπίπεδης διακυβέρνησης, αποσκοπεί στο να σκιαγραφήσει την απάντηση στο παραπάνω ερώτημα </w:t>
      </w:r>
      <w:r w:rsidRPr="005B31B3">
        <w:t>(</w:t>
      </w:r>
      <w:r w:rsidRPr="005B31B3">
        <w:rPr>
          <w:lang w:val="en-US"/>
        </w:rPr>
        <w:t>V</w:t>
      </w:r>
      <w:r>
        <w:t>ΙΙΙ</w:t>
      </w:r>
      <w:r w:rsidRPr="005B31B3">
        <w:t>).</w:t>
      </w:r>
    </w:p>
    <w:p w:rsidR="00742CAF" w:rsidRDefault="00742CAF" w:rsidP="00742CAF">
      <w:pPr>
        <w:spacing w:line="360" w:lineRule="auto"/>
        <w:jc w:val="both"/>
      </w:pPr>
    </w:p>
    <w:p w:rsidR="00742CAF" w:rsidRDefault="00742CAF" w:rsidP="00742CAF">
      <w:pPr>
        <w:spacing w:line="360" w:lineRule="auto"/>
        <w:jc w:val="both"/>
      </w:pPr>
    </w:p>
    <w:p w:rsidR="00742CAF" w:rsidRDefault="00742CAF" w:rsidP="00742CAF">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rPr>
          <w:b/>
        </w:rPr>
      </w:pPr>
      <w:r>
        <w:rPr>
          <w:b/>
          <w:lang w:val="en-US"/>
        </w:rPr>
        <w:t>V</w:t>
      </w:r>
      <w:r>
        <w:rPr>
          <w:b/>
        </w:rPr>
        <w:t xml:space="preserve">. Η ΑΞΙΟΛΟΓΗΣΗ ΤΟΥ ΚΙΝΔΥΝΟΥ: ΑΣΚΗΣΗ ΠΟΛΙΤΙΚΗΣ ΜΕ ΟΡΟΥΣ ΕΠΙΣΤΗΜΗΣ; </w:t>
      </w:r>
    </w:p>
    <w:p w:rsidR="008D4F0C" w:rsidRDefault="008D4F0C" w:rsidP="008D4F0C">
      <w:pPr>
        <w:spacing w:line="360" w:lineRule="auto"/>
        <w:jc w:val="both"/>
        <w:rPr>
          <w:b/>
        </w:rPr>
      </w:pPr>
    </w:p>
    <w:p w:rsidR="008D4F0C" w:rsidRPr="004A6334" w:rsidRDefault="008D4F0C" w:rsidP="008D4F0C">
      <w:pPr>
        <w:spacing w:line="360" w:lineRule="auto"/>
        <w:jc w:val="both"/>
        <w:rPr>
          <w:b/>
        </w:rPr>
      </w:pPr>
      <w:r>
        <w:rPr>
          <w:b/>
        </w:rPr>
        <w:t>1. Οι κίνδυνοι από τη χρήση ΓΤΟ</w:t>
      </w:r>
    </w:p>
    <w:p w:rsidR="008D4F0C" w:rsidRDefault="008D4F0C" w:rsidP="008D4F0C">
      <w:pPr>
        <w:spacing w:line="360" w:lineRule="auto"/>
        <w:jc w:val="both"/>
        <w:rPr>
          <w:b/>
        </w:rPr>
      </w:pPr>
      <w:r>
        <w:rPr>
          <w:b/>
        </w:rPr>
        <w:t>1.1. Οι κίνδυνοι για το περιβάλλον και την υγεία του ανθρώπου</w:t>
      </w:r>
    </w:p>
    <w:p w:rsidR="008D4F0C" w:rsidRDefault="008D4F0C" w:rsidP="008D4F0C">
      <w:pPr>
        <w:spacing w:line="360" w:lineRule="auto"/>
        <w:jc w:val="both"/>
      </w:pPr>
      <w:r>
        <w:t xml:space="preserve">        Όπως ήδη ειπώθηκε επανειλημμένα, είναι ευρύτερα αποδεκτό ότι οι πιθανοί κίνδυνοι από τους ΓΤΟ έχουν να κάνουν,  κυρίως, με τις ενδεχόμενες αρνητικές επιπτώσεις στο περιβάλλον και κατά δεύτερο λόγο στην υγεία του ανθρώπου. Γι’ αυτόν ακριβώς το λόγο, όπως θα φανεί στη συνέχεια, η εκτίμηση του κινδύνου που προβλέπεται από τη νομοθεσία είναι μια παραλλαγή της κλασικής εκτίμησης του κινδύνου για την υγεία. Ειδικότερα, οι περιβαλλοντικοί κίνδυνοι από τη χρήση ΓΤΟ είναι τριών κατηγοριών: α) οι κίνδυνοι για τη βιοποικιλότητα και για τα είδη-μη στόχους, β) οι κίνδυνοι που συνδέονται με τη διασπορά γύρης και τον ανασυνδυασμό και γ) οι κίνδυνοι που συνδέονται με την εξέλιξη της αντίστασης στους οργανισμούς στόχους</w:t>
      </w:r>
      <w:r>
        <w:rPr>
          <w:rStyle w:val="FootnoteReference"/>
        </w:rPr>
        <w:footnoteReference w:id="46"/>
      </w:r>
      <w:r>
        <w:t>.</w:t>
      </w:r>
    </w:p>
    <w:p w:rsidR="008D4F0C" w:rsidRDefault="008D4F0C" w:rsidP="008D4F0C">
      <w:pPr>
        <w:spacing w:line="360" w:lineRule="auto"/>
        <w:jc w:val="both"/>
      </w:pPr>
    </w:p>
    <w:p w:rsidR="008D4F0C" w:rsidRDefault="008D4F0C" w:rsidP="008D4F0C">
      <w:pPr>
        <w:spacing w:line="360" w:lineRule="auto"/>
        <w:jc w:val="both"/>
      </w:pPr>
      <w:r>
        <w:t xml:space="preserve">     Οι κίνδυνοι για τη βιοποικιλότητα και για τα είδη-μη στόχους αφορούν στις αρνητικές επιπτώσεις στα είδη-μη στόχους, στις λειτουργίες των οικοσυστημάτων και στη σύνθεση του εδάφους</w:t>
      </w:r>
      <w:r>
        <w:rPr>
          <w:rStyle w:val="FootnoteReference"/>
        </w:rPr>
        <w:footnoteReference w:id="47"/>
      </w:r>
      <w:r>
        <w:t>. Τα είδη-μη στόχοι περιλαμβάνουν τα ωφέλιμα είδη, τα σαρκοβόρα μη στόχους, τους οργανισμούς που βρίσκονται μέσα στο έδαφος, τα είδη που είναι απειλούμενα και τα είδη που συμβάλλουν στην τοπική βιοποικιλότητα</w:t>
      </w:r>
      <w:r>
        <w:rPr>
          <w:rStyle w:val="FootnoteReference"/>
        </w:rPr>
        <w:footnoteReference w:id="48"/>
      </w:r>
      <w:r>
        <w:t xml:space="preserve">. Μεταξύ των ενδεχόμενων αρνητικών επιπτώσεων στα ως άνω είδη-μη στόχους είναι η τοξικότητα που μπορεί να δημιουργηθεί όταν ένα συγκεκριμένο προϊόν που έχει σχεδιαστεί να είναι  τοξικό ειδικά στον οργανισμό στόχο δεν περιορίζεται αυστηρά στον ως άνω στόχο και με τον τρόπο αυτό επηρεάζονται αρνητικά τα είδη-μη στόχοι από τη διάχυση της τοξικότητας. </w:t>
      </w:r>
    </w:p>
    <w:p w:rsidR="008D4F0C" w:rsidRDefault="008D4F0C" w:rsidP="008D4F0C">
      <w:pPr>
        <w:spacing w:line="360" w:lineRule="auto"/>
        <w:jc w:val="both"/>
      </w:pPr>
    </w:p>
    <w:p w:rsidR="008D4F0C" w:rsidRDefault="008D4F0C" w:rsidP="008D4F0C">
      <w:pPr>
        <w:spacing w:line="360" w:lineRule="auto"/>
        <w:jc w:val="both"/>
      </w:pPr>
      <w:r>
        <w:lastRenderedPageBreak/>
        <w:t xml:space="preserve">     Ένα αντιπροσωπευτικό παράδειγμα είναι οι αρνητικές επιπτώσεις -σε ορισμένα είδη πεταλούδας- της τοξίνης </w:t>
      </w:r>
      <w:r>
        <w:rPr>
          <w:lang w:val="en-US"/>
        </w:rPr>
        <w:t>Cry</w:t>
      </w:r>
      <w:r w:rsidRPr="002C7617">
        <w:t>1</w:t>
      </w:r>
      <w:r>
        <w:rPr>
          <w:lang w:val="en-US"/>
        </w:rPr>
        <w:t>Ab</w:t>
      </w:r>
      <w:r w:rsidRPr="002C7617">
        <w:t xml:space="preserve"> (</w:t>
      </w:r>
      <w:r>
        <w:t xml:space="preserve">που βρέθηκε στο καλαμπόκι </w:t>
      </w:r>
      <w:r>
        <w:rPr>
          <w:lang w:val="en-US"/>
        </w:rPr>
        <w:t>bt</w:t>
      </w:r>
      <w:r w:rsidRPr="002C7617">
        <w:t>)</w:t>
      </w:r>
      <w:r>
        <w:rPr>
          <w:rStyle w:val="FootnoteReference"/>
        </w:rPr>
        <w:footnoteReference w:id="49"/>
      </w:r>
      <w:r>
        <w:t>. Ενώ οι αρχικές έρευνες έδειχναν ότι δεν υπάρχει κίνδυνος για τις πεταλούδες, μεταγενέστερες έδειξαν</w:t>
      </w:r>
      <w:r w:rsidRPr="00E47227">
        <w:t xml:space="preserve"> </w:t>
      </w:r>
      <w:r>
        <w:t xml:space="preserve">πολύ υψηλότερες τιμές τοξικότητας της γύρης </w:t>
      </w:r>
      <w:r>
        <w:rPr>
          <w:lang w:val="en-US"/>
        </w:rPr>
        <w:t>bt</w:t>
      </w:r>
      <w:r>
        <w:rPr>
          <w:rStyle w:val="FootnoteReference"/>
          <w:lang w:val="en-US"/>
        </w:rPr>
        <w:footnoteReference w:id="50"/>
      </w:r>
      <w:r w:rsidRPr="00E47227">
        <w:t>.</w:t>
      </w:r>
      <w:r w:rsidRPr="00805DC7">
        <w:t xml:space="preserve"> </w:t>
      </w:r>
      <w:r>
        <w:t>Αυτή η αντιστροφή οφείλεται στην αλλαγή της εστίασης της έρευνας από τις εκτάσεις του καλλιεργούμενου καλαμποκιού, στη διασπορά της γύρεως και στην επέκταση ΓΤΟ σε χώρους που δεν είχαν τέτοιο προορισμό</w:t>
      </w:r>
      <w:r>
        <w:rPr>
          <w:rStyle w:val="FootnoteReference"/>
        </w:rPr>
        <w:footnoteReference w:id="51"/>
      </w:r>
      <w:r>
        <w:t>. Πρόσφατες έρευνες απέδειξαν επίσης ότι η</w:t>
      </w:r>
      <w:r w:rsidRPr="009767CF">
        <w:t xml:space="preserve"> </w:t>
      </w:r>
      <w:r>
        <w:t xml:space="preserve">τοξίνη </w:t>
      </w:r>
      <w:r>
        <w:rPr>
          <w:lang w:val="en-US"/>
        </w:rPr>
        <w:t>Cry</w:t>
      </w:r>
      <w:r w:rsidRPr="002C7617">
        <w:t>1</w:t>
      </w:r>
      <w:r>
        <w:rPr>
          <w:lang w:val="en-US"/>
        </w:rPr>
        <w:t>Ab</w:t>
      </w:r>
      <w:r>
        <w:t xml:space="preserve"> μπορεί να έχει αρνητικές επιπτώσεις στο έδαφος,  ιδίως στη βιοποικιλότητα του εδάφους</w:t>
      </w:r>
      <w:r w:rsidRPr="00A55C48">
        <w:t xml:space="preserve"> </w:t>
      </w:r>
      <w:r>
        <w:t>όταν η τοξίνη παραμένει εκεί επί μήνες</w:t>
      </w:r>
      <w:r>
        <w:rPr>
          <w:rStyle w:val="FootnoteReference"/>
        </w:rPr>
        <w:footnoteReference w:id="52"/>
      </w:r>
      <w:r>
        <w:t xml:space="preserve">. Τέτοιοι κίνδυνοι μπορεί να εμφανιστούν ιδίως σε χώρους με ευαίσθητα οικοσυστήματα και με απειλούμενα είδη-μη στόχους όπως είναι τα ποτάμια οικοσυστήματα που βρίσκονται πλησίον ΓΤΚ. </w:t>
      </w:r>
    </w:p>
    <w:p w:rsidR="008D4F0C" w:rsidRDefault="008D4F0C" w:rsidP="008D4F0C">
      <w:pPr>
        <w:spacing w:line="360" w:lineRule="auto"/>
        <w:jc w:val="both"/>
      </w:pPr>
    </w:p>
    <w:p w:rsidR="008D4F0C" w:rsidRDefault="008D4F0C" w:rsidP="008D4F0C">
      <w:pPr>
        <w:spacing w:line="360" w:lineRule="auto"/>
        <w:jc w:val="both"/>
      </w:pPr>
      <w:r>
        <w:t xml:space="preserve">     Μελέτες έδειξαν, επίσης, ότι η</w:t>
      </w:r>
      <w:r w:rsidRPr="004B39CE">
        <w:t xml:space="preserve"> </w:t>
      </w:r>
      <w:r>
        <w:t xml:space="preserve">τοξίνη </w:t>
      </w:r>
      <w:r>
        <w:rPr>
          <w:lang w:val="en-US"/>
        </w:rPr>
        <w:t>Cry</w:t>
      </w:r>
      <w:r w:rsidRPr="002C7617">
        <w:t>1</w:t>
      </w:r>
      <w:r>
        <w:rPr>
          <w:lang w:val="en-US"/>
        </w:rPr>
        <w:t>Ab</w:t>
      </w:r>
      <w:r>
        <w:t xml:space="preserve"> μεταφέρεται μέσω των υποπροϊόντων του καλαμποκιού </w:t>
      </w:r>
      <w:r>
        <w:rPr>
          <w:lang w:val="en-US"/>
        </w:rPr>
        <w:t>bt</w:t>
      </w:r>
      <w:r w:rsidRPr="0046518F">
        <w:t xml:space="preserve">, </w:t>
      </w:r>
      <w:r>
        <w:t xml:space="preserve">όπως είναι η γύρη και τα τρίμματα, σε ποταμούς όπου και καταναλώνονται ή αποθηκεύονται από έντομα μη στόχους με αποτέλεσμα να μειώνεται η ανάπτυξή τους και να αυξάνει η θνησιμότητά τους. Όπως είναι γνωστό τα έντομα αυτά είναι η τροφή των υδρόβιων και παρόχθιων θηρευτών και αυτό σημαίνει ότι η καλλιέργεια καλαμποκιού </w:t>
      </w:r>
      <w:r>
        <w:rPr>
          <w:lang w:val="en-US"/>
        </w:rPr>
        <w:t>bt</w:t>
      </w:r>
      <w:r w:rsidRPr="00286FF1">
        <w:t xml:space="preserve"> </w:t>
      </w:r>
      <w:r>
        <w:t>έχει απρόβλεπτες αρνητικές συνέπειες σε οικοσυστημική κλίμακα</w:t>
      </w:r>
      <w:r>
        <w:rPr>
          <w:rStyle w:val="FootnoteReference"/>
        </w:rPr>
        <w:footnoteReference w:id="53"/>
      </w:r>
      <w:r>
        <w:t xml:space="preserve">. Τα πορίσματα αυτής της μελέτης επιβεβαιώθηκαν και από άλλες μελέτες μεταξύ των οποίων και από μια πρόσφατη που διεξήχθη για 217 ποταμούς στην πολιτεία </w:t>
      </w:r>
      <w:r>
        <w:rPr>
          <w:lang w:val="en-US"/>
        </w:rPr>
        <w:t>Indiana</w:t>
      </w:r>
      <w:r w:rsidRPr="00546BB3">
        <w:t xml:space="preserve"> </w:t>
      </w:r>
      <w:r>
        <w:t xml:space="preserve">(Η.Π.Α.) Αυτή έδειξε ότι στο 86% των ποταμών βρέθηκαν φύλλα, κοτσάνια ή φλοιοί καλαμποκιού και σε 13% των ποταμών βρέθηκε η τοξίνη  </w:t>
      </w:r>
      <w:r>
        <w:rPr>
          <w:lang w:val="en-US"/>
        </w:rPr>
        <w:t>Cry</w:t>
      </w:r>
      <w:r w:rsidRPr="002C7617">
        <w:t>1</w:t>
      </w:r>
      <w:r>
        <w:rPr>
          <w:lang w:val="en-US"/>
        </w:rPr>
        <w:t>Ab</w:t>
      </w:r>
      <w:r>
        <w:t>. Να σημειωθεί ότι όλοι οι ποταμοί που ελέγχθηκαν βρίσκονται σε απόσταση έως 500 μέτρα από τις καλλιέργειες καλαμποκιού</w:t>
      </w:r>
      <w:r w:rsidRPr="009F27AE">
        <w:t xml:space="preserve"> </w:t>
      </w:r>
      <w:r>
        <w:rPr>
          <w:lang w:val="fr-FR"/>
        </w:rPr>
        <w:t>bt</w:t>
      </w:r>
      <w:r>
        <w:rPr>
          <w:rStyle w:val="FootnoteReference"/>
        </w:rPr>
        <w:footnoteReference w:id="54"/>
      </w:r>
      <w:r>
        <w:t>.</w:t>
      </w:r>
    </w:p>
    <w:p w:rsidR="008D4F0C" w:rsidRPr="00546BB3" w:rsidRDefault="008D4F0C" w:rsidP="008D4F0C">
      <w:pPr>
        <w:spacing w:line="360" w:lineRule="auto"/>
        <w:jc w:val="both"/>
      </w:pPr>
    </w:p>
    <w:p w:rsidR="008D4F0C" w:rsidRDefault="008D4F0C" w:rsidP="008D4F0C">
      <w:pPr>
        <w:spacing w:line="360" w:lineRule="auto"/>
        <w:jc w:val="both"/>
      </w:pPr>
      <w:r>
        <w:lastRenderedPageBreak/>
        <w:t xml:space="preserve">       Η διασπορά της γύρης δηλαδή η ενσωμάτωση γονιδίων στο πλέγμα των γονιδίων ενός πληθυσμού από ένα άλλο ή από περισσότερους πληθυσμούς, είναι μεταξύ των μεγαλύτερων κινδύνων που συνδέονται με τις ΓΤΚ</w:t>
      </w:r>
      <w:r>
        <w:rPr>
          <w:rStyle w:val="FootnoteReference"/>
        </w:rPr>
        <w:footnoteReference w:id="55"/>
      </w:r>
      <w:r>
        <w:t>. Η μεταφορά γονιδίων ΓΤΟ εμφανίζεται όταν οι σπόροι ενός ΓΤ φυτού διασπείρονται και διασταυρώνονται με μη-ΓΤ φυτά. Επειδή τα ΓΤ φυτά είναι συχνά πιο ανθεκτικά σε σχέση με τα συγγενικά μη-ΓΤ, αυτό μπορεί να οδηγήσει σε μείωση ή σε απώλεια της βιοποικιλότητας και σε μια ανατροπή ευαίσθητων οικολογικών ισορροπιών, ιδίως σε μικρο-περιβάλλοντα  με εντοπισμένα αυτόχθονα είδη</w:t>
      </w:r>
      <w:r>
        <w:rPr>
          <w:rStyle w:val="FootnoteReference"/>
        </w:rPr>
        <w:footnoteReference w:id="56"/>
      </w:r>
      <w:r>
        <w:t xml:space="preserve">. </w:t>
      </w:r>
    </w:p>
    <w:p w:rsidR="008D4F0C" w:rsidRDefault="008D4F0C" w:rsidP="008D4F0C">
      <w:pPr>
        <w:spacing w:line="360" w:lineRule="auto"/>
        <w:jc w:val="both"/>
      </w:pPr>
    </w:p>
    <w:p w:rsidR="008D4F0C" w:rsidRDefault="008D4F0C" w:rsidP="008D4F0C">
      <w:pPr>
        <w:spacing w:line="360" w:lineRule="auto"/>
        <w:jc w:val="both"/>
      </w:pPr>
      <w:r>
        <w:t xml:space="preserve">       Οι κίνδυνοι που συνδέονται με οργανισμούς οι οποίοι αναπτύσσουν νέες αντιστάσεις είναι οι πιο σοβαροί για το λόγο ότι το 99% περίπου των ΓΤΚ σε όλο τον κόσμο είναι </w:t>
      </w:r>
      <w:r>
        <w:rPr>
          <w:lang w:val="en-US"/>
        </w:rPr>
        <w:t>bt</w:t>
      </w:r>
      <w:r w:rsidRPr="009E1DAC">
        <w:t xml:space="preserve"> </w:t>
      </w:r>
      <w:r>
        <w:t xml:space="preserve"> ή ανθεκτικές στα φυτοφάρμακα</w:t>
      </w:r>
      <w:r>
        <w:rPr>
          <w:rStyle w:val="FootnoteReference"/>
        </w:rPr>
        <w:footnoteReference w:id="57"/>
      </w:r>
      <w:r>
        <w:t xml:space="preserve">. Στην περίπτωση όπου η αντίσταση περνά στους οργανισμούς που αποτελούν τους στόχους των φυτοφαρμάκων, οι επιπτώσεις στους φυτικούς πόρους και στα καλλιεργούμενα είδη ενδέχεται να είναι πολύ μεγάλες καθώς τα κοινώς χρησιμοποιούμενα φυτοφάρμακα καθίστανται αναποτελεσματικά στην καταπολέμηση των ζιζανίων και των εντόμων. Αντίσταση σε ζιζανιοκτόνα και σε εντομοκτόνα έχει ήδη παρατηρηθεί σε πολλά είδη μέσω της φυσικής εξέλιξης. Έχουν χρησιμοποιηθεί τεχνικές διαχείρισης της αντίστασης μέσω του ελέγχου των καλλιεργειών με φυτά </w:t>
      </w:r>
      <w:r>
        <w:rPr>
          <w:lang w:val="en-US"/>
        </w:rPr>
        <w:t>bt</w:t>
      </w:r>
      <w:r>
        <w:t>,</w:t>
      </w:r>
      <w:r w:rsidRPr="00D10930">
        <w:t xml:space="preserve"> </w:t>
      </w:r>
      <w:r>
        <w:t>οι οποίες όμως δεν έχουν οδηγήσει σε επιτυχή, έως τώρα, αντιμετώπιση της αντίστασης</w:t>
      </w:r>
      <w:r>
        <w:rPr>
          <w:rStyle w:val="FootnoteReference"/>
        </w:rPr>
        <w:footnoteReference w:id="58"/>
      </w:r>
      <w:r>
        <w:t>. Να σημειώσουμε</w:t>
      </w:r>
      <w:r w:rsidRPr="006C4465">
        <w:t>,</w:t>
      </w:r>
      <w:r>
        <w:t xml:space="preserve"> ωστόσο</w:t>
      </w:r>
      <w:r w:rsidRPr="006C4465">
        <w:t>,</w:t>
      </w:r>
      <w:r>
        <w:t xml:space="preserve"> ότι όλοι οι παραπάνω κίνδυνοι δεν αποτελούν αποκλειστική ιδιαιτερότητα των ΓΤΟ μπορεί όμως να οξυνθούν εξ αιτίας  της αυξημένης ανθεκτικότητας των ΓΤΚ.</w:t>
      </w:r>
    </w:p>
    <w:p w:rsidR="008D4F0C" w:rsidRDefault="008D4F0C" w:rsidP="008D4F0C">
      <w:pPr>
        <w:spacing w:line="360" w:lineRule="auto"/>
        <w:jc w:val="both"/>
      </w:pPr>
    </w:p>
    <w:p w:rsidR="008D4F0C" w:rsidRDefault="008D4F0C" w:rsidP="008D4F0C">
      <w:pPr>
        <w:spacing w:line="360" w:lineRule="auto"/>
        <w:jc w:val="both"/>
      </w:pPr>
      <w:r>
        <w:t xml:space="preserve">      Πέραν των –πιθανών- αρνητικών επιπτώσεων στο περιβάλλον, οι επιπτώσεις στην υγεία του ανθρώπου και των ζώων δεν είναι αμελητέες. Σε πρόσφατη έρευνα διαπιστώθηκε ότι υπήρξαν αρνητικές επιπτώσεις στους νεφρούς και στο ήπαρ ποντικών που είχαν τραφεί επί ενενήντα ημέρες με τρεις ποικιλίες ΓΤ καλαμποκιού εκ των οποίων η πρώτη (ΝΚ 603) τροποποιήθηκε γενετικά για να είναι ανεκτική στο φυτοφάρμακο </w:t>
      </w:r>
      <w:r>
        <w:rPr>
          <w:lang w:val="en-US"/>
        </w:rPr>
        <w:t>Roundup</w:t>
      </w:r>
      <w:r w:rsidRPr="003F5C56">
        <w:t xml:space="preserve">, </w:t>
      </w:r>
      <w:r>
        <w:t xml:space="preserve">οι δε δύο άλλες (ΜΟΝ 810 και ΜΟΝ 863) για να παράγουν </w:t>
      </w:r>
      <w:r>
        <w:lastRenderedPageBreak/>
        <w:t>δύο νέα διαφορετικά εντομοκτόνα</w:t>
      </w:r>
      <w:r>
        <w:rPr>
          <w:rStyle w:val="FootnoteReference"/>
        </w:rPr>
        <w:footnoteReference w:id="59"/>
      </w:r>
      <w:r>
        <w:t>. Ομοίως</w:t>
      </w:r>
      <w:r w:rsidRPr="006C4465">
        <w:t>,</w:t>
      </w:r>
      <w:r>
        <w:t xml:space="preserve"> τοξικές επιπτώσεις παρατηρήθηκαν από την απρόσμενη αύξηση των φυσικών τοξινών εξ αιτίας της γενετικής τροποποίησης</w:t>
      </w:r>
      <w:r>
        <w:rPr>
          <w:rStyle w:val="FootnoteReference"/>
        </w:rPr>
        <w:footnoteReference w:id="60"/>
      </w:r>
      <w:r>
        <w:t>.</w:t>
      </w:r>
    </w:p>
    <w:p w:rsidR="008D4F0C" w:rsidRDefault="008D4F0C" w:rsidP="008D4F0C">
      <w:pPr>
        <w:spacing w:line="360" w:lineRule="auto"/>
        <w:jc w:val="both"/>
      </w:pPr>
    </w:p>
    <w:p w:rsidR="008D4F0C" w:rsidRDefault="008D4F0C" w:rsidP="008D4F0C">
      <w:pPr>
        <w:spacing w:line="360" w:lineRule="auto"/>
        <w:jc w:val="both"/>
        <w:rPr>
          <w:b/>
        </w:rPr>
      </w:pPr>
      <w:r>
        <w:rPr>
          <w:b/>
        </w:rPr>
        <w:t>1.2. Οι κοινωνικοοικονομικές επιπτώσεις: υποσχέσεις χωρίς αντίκρισμα</w:t>
      </w:r>
    </w:p>
    <w:p w:rsidR="008D4F0C" w:rsidRDefault="008D4F0C" w:rsidP="008D4F0C">
      <w:pPr>
        <w:spacing w:line="360" w:lineRule="auto"/>
        <w:jc w:val="both"/>
      </w:pPr>
      <w:r>
        <w:t xml:space="preserve">   </w:t>
      </w:r>
      <w:r w:rsidRPr="0057570F">
        <w:t xml:space="preserve">   </w:t>
      </w:r>
      <w:r>
        <w:t xml:space="preserve"> Είναι γνωστό, και εύλογο άλλωστε, ότι οι υπερασπιστές της βιοτεχνολογίας στην προσπάθεια στήριξης της νέας τεχνολογίας υπόσχονται οφέλη από τη χρήση ΓΤΟ, κυρίως από την καλλιέργειά τους. Διεθνείς ή υπερεθνικοί οργανισμοί ασχολήθηκαν με τις επιπτώσεις στο κοινωνικό και οικονομικό επίπεδο των ΓΤΟ και έχουν δημοσιεύσει μελέτες ή εκθέσεις. Έτσι, μελέτη που εκπόνησε η Παγκόσμια Οργάνωση Υγείας αναφέρθηκε σε διάφορα μελλοντικά οφέλη από τη χρήση ΓΤΟ, στα οποία συμπεριλάμβανε τη δυνατότητα για αυξημένη γεωργική παραγωγικότητα, όπως επίσης και τη βελτίωση των θρεπτικών συστατικών. Μάλιστα δε υπογράμμισε ότι τα παραπάνω οφέλη θα συνοδεύονται από ‘‘μειωμένη χρήση χημικών, αύξηση του εισοδήματος των αγροτών και βελτίωση της διατροφικής ασφάλειας ιδίως στον αναπτυσσόμενο κόσμο’’</w:t>
      </w:r>
      <w:r>
        <w:rPr>
          <w:rStyle w:val="FootnoteReference"/>
        </w:rPr>
        <w:footnoteReference w:id="61"/>
      </w:r>
      <w:r>
        <w:t>.</w:t>
      </w:r>
      <w:r w:rsidRPr="0057570F">
        <w:t xml:space="preserve">  </w:t>
      </w:r>
      <w:r>
        <w:t>Ωστόσο, στην ίδια μελέτη αναφέρεται ότι πολλοί από αυτούς τους στόχους δεν έχουν επιτευχθεί</w:t>
      </w:r>
      <w:r>
        <w:rPr>
          <w:rStyle w:val="FootnoteReference"/>
        </w:rPr>
        <w:footnoteReference w:id="62"/>
      </w:r>
      <w:r>
        <w:t>. Όπως, συγκεκριμένα, τονίζεται ‘‘μερικοί [αγρότες] αναφέρουν μικρότερες σοδειές, συνεχιζόμενη εξάρτηση από τα χημικά, απώλεια εξαγωγών και δραματικά μειωμένα έσοδα σαν συνέπεια από τη χρήση βιοτεχνολογίας’’</w:t>
      </w:r>
      <w:r>
        <w:rPr>
          <w:rStyle w:val="FootnoteReference"/>
        </w:rPr>
        <w:footnoteReference w:id="63"/>
      </w:r>
      <w:r>
        <w:t xml:space="preserve">. </w:t>
      </w:r>
    </w:p>
    <w:p w:rsidR="008D4F0C" w:rsidRPr="00957BE0" w:rsidRDefault="008D4F0C" w:rsidP="008D4F0C">
      <w:pPr>
        <w:spacing w:line="360" w:lineRule="auto"/>
        <w:jc w:val="both"/>
      </w:pPr>
    </w:p>
    <w:p w:rsidR="008D4F0C" w:rsidRDefault="008D4F0C" w:rsidP="008D4F0C">
      <w:pPr>
        <w:spacing w:line="360" w:lineRule="auto"/>
        <w:jc w:val="both"/>
      </w:pPr>
      <w:r>
        <w:t xml:space="preserve">     Σε ό,τι αφορά στην αντιμετώπιση του προβλήματος της πείνας στον αναπτυσσόμενο κόσμο -που ήταν μία από τις πρώτες προσδοκίες που καλλιεργήθηκαν για τους ΓΤΟ- τα αποτελέσματα δεν φαίνεται να τις δικαιώνουν. Συγκεκριμένα, η καλλιέργεια ΓΤ σπόρων δεν οδήγησε σε αύξηση της εσοδείας ούτε σε μείωση των τιμών παρά μόνο στην αύξηση των κερδών των εταιριών βιοτεχνολογίας</w:t>
      </w:r>
      <w:r>
        <w:rPr>
          <w:rStyle w:val="FootnoteReference"/>
        </w:rPr>
        <w:footnoteReference w:id="64"/>
      </w:r>
      <w:r>
        <w:t>. Σε πρόσφατη μελέτη</w:t>
      </w:r>
      <w:r>
        <w:rPr>
          <w:rStyle w:val="FootnoteReference"/>
        </w:rPr>
        <w:footnoteReference w:id="65"/>
      </w:r>
      <w:r>
        <w:t xml:space="preserve"> αναφέρεται ότι η καλλιέργεια ΓΤΟ </w:t>
      </w:r>
      <w:r>
        <w:lastRenderedPageBreak/>
        <w:t xml:space="preserve">συνέβαλε ελάχιστα στην αύξηση της απόδοσης της παραγωγής, παρά τις τεράστιες προσπάθειες που καταβλήθηκαν από τις εταιρίες βιοτεχνολογίας. Συγκεκριμένα επισημαίνεται ότι η καλλιέργεια ΓΤΟ δεν επέφερε αύξηση στην εγγενή εσοδεία και μόνο το καλαμπόκι </w:t>
      </w:r>
      <w:r>
        <w:rPr>
          <w:lang w:val="en-US"/>
        </w:rPr>
        <w:t>bt</w:t>
      </w:r>
      <w:r w:rsidRPr="007C234E">
        <w:t xml:space="preserve"> </w:t>
      </w:r>
      <w:r>
        <w:t>παρουσιάζει ελαφρώς μεγαλύτερη επιχειρησιακή εσοδεία. Η σόγια που τροποποιήθηκε γενετικά για να είναι ανθεκτική στα φυτοφάρμακα -και η οποία είναι μακράν η περισσότερο χρησιμοποιούμενη ΓΤΚ- δεν επέφερε καμία αύξηση ούτε της εγγενούς ούτε της επιχειρησιακής εσοδείας</w:t>
      </w:r>
      <w:r>
        <w:rPr>
          <w:rStyle w:val="FootnoteReference"/>
        </w:rPr>
        <w:footnoteReference w:id="66"/>
      </w:r>
      <w:r>
        <w:t>. Ανεξάρτητα  όμως από το αν υπήρξε αύξηση της εσοδείας, η αντιμετώπιση της πείνας δεν είναι τεχνικό αλλά πολιτικό πρόβλημα με την έννοια ότι εντοπίζεται στην αδυναμία πρόσβασης ευρέων στρωμάτων της κοινωνίας στην τροφή και στη γη</w:t>
      </w:r>
      <w:r>
        <w:rPr>
          <w:rStyle w:val="FootnoteReference"/>
        </w:rPr>
        <w:footnoteReference w:id="67"/>
      </w:r>
      <w:r>
        <w:t>.</w:t>
      </w:r>
    </w:p>
    <w:p w:rsidR="008D4F0C" w:rsidRDefault="008D4F0C" w:rsidP="008D4F0C">
      <w:pPr>
        <w:spacing w:line="360" w:lineRule="auto"/>
        <w:jc w:val="both"/>
      </w:pPr>
    </w:p>
    <w:p w:rsidR="008D4F0C" w:rsidRDefault="008D4F0C" w:rsidP="008D4F0C">
      <w:pPr>
        <w:spacing w:line="360" w:lineRule="auto"/>
        <w:jc w:val="both"/>
      </w:pPr>
      <w:r>
        <w:t xml:space="preserve">     Η μείωση της χρήσης φυτοφαρμάκων ήταν  μεταξύ των πιο προβεβλημένων ισχυρισμών των εταιριών βιοτεχνολογίας</w:t>
      </w:r>
      <w:r>
        <w:rPr>
          <w:rStyle w:val="FootnoteReference"/>
        </w:rPr>
        <w:footnoteReference w:id="68"/>
      </w:r>
      <w:r>
        <w:t>. Παρά τις διαβεβαιώσεις των εταιριών, τα φυτά που τροποποιήθηκαν γενετικά για να είναι ανθεκτικά στα εντομοκτόνα επέδειξαν μια άλλη συμπεριφορά</w:t>
      </w:r>
      <w:r>
        <w:rPr>
          <w:rStyle w:val="FootnoteReference"/>
        </w:rPr>
        <w:footnoteReference w:id="69"/>
      </w:r>
      <w:r>
        <w:t>.</w:t>
      </w:r>
      <w:r w:rsidRPr="002E3736">
        <w:t xml:space="preserve"> </w:t>
      </w:r>
      <w:r>
        <w:t>Μπορεί ένα τέτοιο ΓΤ φυτό να απαιτεί περισσότερη χρήση εντομοκτόνου στο μέλλον, με αποτέλεσμα να αναπτυχθούν ζιζάνια ανθεκτικά στα ζιζανιοκτόνα</w:t>
      </w:r>
      <w:r>
        <w:rPr>
          <w:rStyle w:val="FootnoteReference"/>
        </w:rPr>
        <w:footnoteReference w:id="70"/>
      </w:r>
      <w:r>
        <w:t>. Πρόσφατη μελέτη έδειξε ότι στις ΗΠΑ, τα τελευταία δέκα τρία χρόνια χρήσης ΓΤΟ, υπήρξε αύξηση των εντομοκτόνων κατά 318.4 εκατομμύρια λίβρες σε σχέση με την περίοδο πριν από τη χρήση ΓΤΟ. Αυτή η αύξηση σημαίνει κατά μέσο όρο μια επί πλέον επιβάρυνση κατά 0.25 λίβρες δραστικής φυτοπροστατευτικής ουσίας ανά στρέμμα καλλιεργούμενων ΓΤΟ τα τελευταία δέκα τρία χρόνια</w:t>
      </w:r>
      <w:r>
        <w:rPr>
          <w:rStyle w:val="FootnoteReference"/>
        </w:rPr>
        <w:footnoteReference w:id="71"/>
      </w:r>
      <w:r>
        <w:t>.</w:t>
      </w:r>
    </w:p>
    <w:p w:rsidR="008D4F0C" w:rsidRDefault="008D4F0C" w:rsidP="008D4F0C">
      <w:pPr>
        <w:spacing w:line="360" w:lineRule="auto"/>
        <w:jc w:val="both"/>
      </w:pPr>
    </w:p>
    <w:p w:rsidR="008D4F0C" w:rsidRDefault="008D4F0C" w:rsidP="008D4F0C">
      <w:pPr>
        <w:spacing w:line="360" w:lineRule="auto"/>
        <w:jc w:val="both"/>
      </w:pPr>
      <w:r>
        <w:lastRenderedPageBreak/>
        <w:t xml:space="preserve">      Πέραν των όσων εκτέθηκαν παραπάνω, οι οικονομικές επιπτώσεις από την καλλιέργεια ΓΤΟ περιλαμβάνουν τόσο την απώλεια της δυνατότητας να πωληθεί ένα προϊόν ως βιολογικό εξ αιτίας της επιμόλυνσης από ΓΤΟ όσο και το κόστος πιστοποίησης βιολογικών καλλιεργειών αναφορικά με το κατά πόσο έχουν επιμολυνθεί από ΓΤΚ. Μία περαιτέρω επίπτωση συνιστά ο κίνδυνος, είδη παρασίτων που προκαλούνται από την καλλιέργεια ΓΤΟ να αναπτύξουν ανθεκτικότητα σε εντομοκτόνα</w:t>
      </w:r>
      <w:r>
        <w:rPr>
          <w:rStyle w:val="FootnoteReference"/>
        </w:rPr>
        <w:footnoteReference w:id="72"/>
      </w:r>
      <w:r>
        <w:t xml:space="preserve">. Μια ασφαλής εκτίμηση με βάση τα παραπάνω είναι ότι οι προσδοκίες για θετικές κοινωνικές και οικονομικές επιπτώσεις από τη χρήση ΓΤΟ δεν επαληθεύτηκαν τουλάχιστον στο βαθμό που να δικαιολογεί τη χρήση και ιδίως την καλλιέργεια ΓΤ φυτών. Αν δε ληφθεί υπόψη ότι οι κίνδυνοι για το περιβάλλον ενδέχεται να είναι σημαντικοί τότε το ισοζύγιο είναι σαφώς αρνητικό. Σχετικά ο </w:t>
      </w:r>
      <w:r>
        <w:rPr>
          <w:lang w:val="en-US"/>
        </w:rPr>
        <w:t>FAO</w:t>
      </w:r>
      <w:r w:rsidRPr="00A73660">
        <w:t xml:space="preserve"> </w:t>
      </w:r>
      <w:r>
        <w:t>υπογράμμισε ότι ‘‘όταν δεν υπάρχουν προφανή επιτακτικά οφέλη είναι καλύτερα να μην καλλιεργούμε ΓΤΟ.’’</w:t>
      </w:r>
      <w:r>
        <w:rPr>
          <w:rStyle w:val="FootnoteReference"/>
        </w:rPr>
        <w:footnoteReference w:id="73"/>
      </w:r>
    </w:p>
    <w:p w:rsidR="008D4F0C" w:rsidRDefault="008D4F0C" w:rsidP="008D4F0C">
      <w:pPr>
        <w:spacing w:line="360" w:lineRule="auto"/>
        <w:jc w:val="both"/>
      </w:pPr>
      <w:r>
        <w:t xml:space="preserve">  Αξίζει να σημειωθεί ότι η Έκθεση της Επιτροπής για τις κοινωνικοοικονομικές επιπτώσεις της καλλιέργειας ΓΤΟ (Απρίλιος 2011)</w:t>
      </w:r>
      <w:r>
        <w:rPr>
          <w:rStyle w:val="FootnoteReference"/>
        </w:rPr>
        <w:footnoteReference w:id="74"/>
      </w:r>
      <w:r>
        <w:t xml:space="preserve"> δεν εισφέρει νέα στοιχεία. Όπως επισημαίνει και η ίδια, δεν υπάρχουν επαρκή στοιχεία και στατιστικά δεδομένα σχετικά με το ευρωπαϊκό πλαίσιο για να τεκμηριωθούν οι απόψεις που εξέφρασαν τα κράτη μέλη, τα δε υπάρχοντα δεν χρησιμοποιούνται με αντικειμενικό τρόπο</w:t>
      </w:r>
      <w:r>
        <w:rPr>
          <w:rStyle w:val="FootnoteReference"/>
        </w:rPr>
        <w:footnoteReference w:id="75"/>
      </w:r>
      <w:r>
        <w:t>. Καταλήγει δε ότι επιβάλλεται να διεξαχθεί νέα μελέτη που θα στηρίζεται σε επιστημονική βάση και θα υπερβαίνει ‘‘τις πολωμένες αντιλήψεις που παρατηρήθηκαν σε αυτή τη διαδικασία’’</w:t>
      </w:r>
      <w:r>
        <w:rPr>
          <w:rStyle w:val="FootnoteReference"/>
        </w:rPr>
        <w:footnoteReference w:id="76"/>
      </w:r>
      <w:r>
        <w:t>. Ένα συμπέρασμα που μπορεί να εξαχθεί από την ως άνω Έκθεση της Επιτροπής είναι ότι επειδή η αντιμετώπιση των ΓΤΟ στα κράτη μέλη ποικίλλει αυτό έχει σαν αποτέλεσμα να μην είναι δυνατή μια ενιαία αξιολόγηση των κοινωνικοοικονομικών επιπτώσεων σε ευρωπαϊκό επίπεδο.</w:t>
      </w:r>
    </w:p>
    <w:p w:rsidR="008D4F0C" w:rsidRDefault="008D4F0C" w:rsidP="008D4F0C">
      <w:pPr>
        <w:spacing w:line="360" w:lineRule="auto"/>
        <w:jc w:val="both"/>
      </w:pPr>
    </w:p>
    <w:p w:rsidR="008D4F0C" w:rsidRDefault="008D4F0C" w:rsidP="008D4F0C">
      <w:pPr>
        <w:spacing w:line="360" w:lineRule="auto"/>
        <w:jc w:val="both"/>
        <w:rPr>
          <w:b/>
        </w:rPr>
      </w:pPr>
      <w:r>
        <w:rPr>
          <w:b/>
        </w:rPr>
        <w:t>2. Η ανάλυση του κινδύνου</w:t>
      </w:r>
    </w:p>
    <w:p w:rsidR="008D4F0C" w:rsidRPr="00AD50FA" w:rsidRDefault="008D4F0C" w:rsidP="008D4F0C">
      <w:pPr>
        <w:spacing w:line="360" w:lineRule="auto"/>
        <w:jc w:val="both"/>
        <w:rPr>
          <w:b/>
        </w:rPr>
      </w:pPr>
      <w:r>
        <w:rPr>
          <w:b/>
        </w:rPr>
        <w:t>2.1. Τα στάδια της ανάλυσης του κινδύνου</w:t>
      </w:r>
    </w:p>
    <w:p w:rsidR="008D4F0C" w:rsidRDefault="008D4F0C" w:rsidP="008D4F0C">
      <w:pPr>
        <w:spacing w:line="360" w:lineRule="auto"/>
        <w:jc w:val="both"/>
      </w:pPr>
      <w:r>
        <w:lastRenderedPageBreak/>
        <w:t xml:space="preserve">       Όπως αναφέρθηκε ήδη, με τον Κανονισμό 1</w:t>
      </w:r>
      <w:r w:rsidRPr="00141053">
        <w:t>78</w:t>
      </w:r>
      <w:r>
        <w:t>/2002/ΕΚ ιδρύθηκε η Ευρωπαϊκή Αρχή για την Ασφάλεια των Τροφίμων (</w:t>
      </w:r>
      <w:r>
        <w:rPr>
          <w:lang w:val="en-US"/>
        </w:rPr>
        <w:t>EFSA</w:t>
      </w:r>
      <w:r w:rsidRPr="007B6406">
        <w:t xml:space="preserve">) </w:t>
      </w:r>
      <w:r>
        <w:t>η οποία αξιολογεί τον κίνδυνο των ΓΤΟ και υποβάλλει τη γνώμη της στην Επιτροπή, στα κράτη μέλη και στον αιτούντα</w:t>
      </w:r>
      <w:r>
        <w:rPr>
          <w:rStyle w:val="FootnoteReference"/>
        </w:rPr>
        <w:footnoteReference w:id="77"/>
      </w:r>
      <w:r>
        <w:t>. Σύμφωνα με το δίκαιο της Ε.Ε., οι γνώμες των επιστημονικών φορέων δεν είναι δεσμευτικές για τα αρμόδια πολιτικά όργανα</w:t>
      </w:r>
      <w:r>
        <w:rPr>
          <w:rStyle w:val="FootnoteReference"/>
        </w:rPr>
        <w:footnoteReference w:id="78"/>
      </w:r>
      <w:r>
        <w:t>. Ωστόσο, η αξιολόγηση του κινδύνου δημιουργεί ένα προηγούμενο το οποίο δύσκολα μπορούν να παρακάμψουν και να μη λάβουν υπόψη τους τα αρμόδια πολιτικά όργανα της Ε.Ε.</w:t>
      </w:r>
      <w:r>
        <w:rPr>
          <w:rStyle w:val="FootnoteReference"/>
        </w:rPr>
        <w:footnoteReference w:id="79"/>
      </w:r>
      <w:r>
        <w:t xml:space="preserve">. Στα πλαίσια αυτά η </w:t>
      </w:r>
      <w:r>
        <w:rPr>
          <w:lang w:val="en-US"/>
        </w:rPr>
        <w:t>EFSA</w:t>
      </w:r>
      <w:r>
        <w:t xml:space="preserve"> για να εκτιμήσει τον κίνδυνο εκπονεί Αξιολόγηση Περιβαλλοντικού Κινδύνου (ΑΠΚ). Η μέθοδος που χρησιμοποιεί βασίζεται </w:t>
      </w:r>
      <w:r w:rsidRPr="00AD5CA2">
        <w:t>στο ρυθμιστικό πλαίσιο της ανάλυσης ή της ρύθμισης του κινδύνου</w:t>
      </w:r>
      <w:r>
        <w:t>.</w:t>
      </w:r>
      <w:r w:rsidRPr="00AD5CA2">
        <w:t xml:space="preserve"> </w:t>
      </w:r>
      <w:r>
        <w:t>Η ανάλυση κινδύνου</w:t>
      </w:r>
      <w:r w:rsidRPr="00AD5CA2">
        <w:t xml:space="preserve"> περιλαμβάνει τρία στάδια: το στάδιο της εκτίμησης του κινδύνου, το  στάδιο της διαχείρισης του κινδύνου και το στάδιο της ενημέρωσης σχετικά με τον κίνδυνο</w:t>
      </w:r>
      <w:r w:rsidRPr="00AD5CA2">
        <w:rPr>
          <w:rStyle w:val="FootnoteReference"/>
        </w:rPr>
        <w:footnoteReference w:id="80"/>
      </w:r>
      <w:r w:rsidRPr="00AD5CA2">
        <w:t xml:space="preserve">. </w:t>
      </w:r>
    </w:p>
    <w:p w:rsidR="008D4F0C" w:rsidRDefault="008D4F0C" w:rsidP="008D4F0C">
      <w:pPr>
        <w:spacing w:line="360" w:lineRule="auto"/>
        <w:jc w:val="both"/>
      </w:pPr>
    </w:p>
    <w:p w:rsidR="008D4F0C" w:rsidRDefault="008D4F0C" w:rsidP="008D4F0C">
      <w:pPr>
        <w:spacing w:line="360" w:lineRule="auto"/>
        <w:jc w:val="both"/>
      </w:pPr>
      <w:r>
        <w:t xml:space="preserve">      </w:t>
      </w:r>
      <w:r w:rsidRPr="00AD5CA2">
        <w:t>Κατά το μεν πρώτο στάδιο διεξάγεται η επιστημονική αξιολόγηση</w:t>
      </w:r>
      <w:r>
        <w:rPr>
          <w:rStyle w:val="FootnoteReference"/>
        </w:rPr>
        <w:footnoteReference w:id="81"/>
      </w:r>
      <w:r w:rsidRPr="00AD5CA2">
        <w:t xml:space="preserve"> με την οποία επιχειρείται ‘‘ο χαρακτηρισμός των δυνάμει αρνητικών επιπτώσεων στην υγεία από την έκθεση του ανθρώπου στους περιβαλλοντικούς κινδύνους’’</w:t>
      </w:r>
      <w:r w:rsidRPr="00AD5CA2">
        <w:rPr>
          <w:rStyle w:val="FootnoteReference"/>
        </w:rPr>
        <w:footnoteReference w:id="82"/>
      </w:r>
      <w:r w:rsidRPr="00AD5CA2">
        <w:t>. Κατά το δεύτερο στάδιο</w:t>
      </w:r>
      <w:r>
        <w:rPr>
          <w:rStyle w:val="FootnoteReference"/>
        </w:rPr>
        <w:footnoteReference w:id="83"/>
      </w:r>
      <w:r w:rsidRPr="00AD5CA2">
        <w:t xml:space="preserve"> συνεκτιμώνται τα πορίσματα της πρότερης επιστημονικής εκτίμησης του κινδύνου </w:t>
      </w:r>
      <w:r>
        <w:t>και</w:t>
      </w:r>
      <w:r w:rsidRPr="00AD5CA2">
        <w:t xml:space="preserve"> τα κοινωνικά και οικονομικά δεδομένα, ώστε να προκύψει ο αποδεκτός </w:t>
      </w:r>
      <w:r w:rsidRPr="00AD5CA2">
        <w:lastRenderedPageBreak/>
        <w:t>κίνδυνος</w:t>
      </w:r>
      <w:r w:rsidRPr="00AD5CA2">
        <w:rPr>
          <w:rStyle w:val="FootnoteReference"/>
        </w:rPr>
        <w:footnoteReference w:id="84"/>
      </w:r>
      <w:r w:rsidRPr="00AD5CA2">
        <w:t>. Αυτό είναι αναγκαίο διότι</w:t>
      </w:r>
      <w:r>
        <w:t>,</w:t>
      </w:r>
      <w:r w:rsidRPr="00AD5CA2">
        <w:t xml:space="preserve"> όπως επισημαίνεται</w:t>
      </w:r>
      <w:r>
        <w:t>,</w:t>
      </w:r>
      <w:r w:rsidRPr="00AD5CA2">
        <w:t xml:space="preserve"> ‘‘δεν μπορεί μόνο η επιστήμη να αποτελέσει την κατάλληλη βάση για τη λήψη απόφασης’’ καθώς ‘‘οι αποφάσεις σχετικά με τους κινδύνους είναι, σε τελική ανάλυση, πολιτικές επιλογές’’</w:t>
      </w:r>
      <w:r w:rsidRPr="00AD5CA2">
        <w:rPr>
          <w:rStyle w:val="FootnoteReference"/>
        </w:rPr>
        <w:footnoteReference w:id="85"/>
      </w:r>
      <w:r w:rsidRPr="00AD5CA2">
        <w:t xml:space="preserve">. Τέλος, κατά το τρίτο στάδιο διαχέεται η πληροφόρηση και η αξιολόγηση προς την επιστημονική κοινότητα, προς τις αρμόδιες αρχές, προς τους ενδιαφερόμενους και προς το κοινό γενικότερα. Στόχος της ενημέρωσης είναι να πληροφορηθεί αλλά –κυρίως- να επηρεαστεί το κοινό, ώστε να στηρίξει τις αποφάσεις που λαμβάνονται. </w:t>
      </w:r>
    </w:p>
    <w:p w:rsidR="008D4F0C" w:rsidRDefault="008D4F0C" w:rsidP="008D4F0C">
      <w:pPr>
        <w:spacing w:line="360" w:lineRule="auto"/>
        <w:jc w:val="both"/>
      </w:pPr>
    </w:p>
    <w:p w:rsidR="008D4F0C" w:rsidRDefault="008D4F0C" w:rsidP="008D4F0C">
      <w:pPr>
        <w:spacing w:line="360" w:lineRule="auto"/>
        <w:jc w:val="both"/>
      </w:pPr>
      <w:r>
        <w:t xml:space="preserve">      </w:t>
      </w:r>
      <w:r w:rsidRPr="00AD5CA2">
        <w:t>Η παραπάνω άποψη για την ανάγκη διάκρισης των σταδίων –ιδίως του πρώτου και του δεύτερου- δίνει ιδ</w:t>
      </w:r>
      <w:r>
        <w:t xml:space="preserve">ιαίτερη βαρύτητα στην επιστήμη </w:t>
      </w:r>
      <w:r w:rsidRPr="00AD5CA2">
        <w:t>για την οποία υποστηρίζει ότι αποτελεί ένα ουδέτερο και ορθολογικό μέσο για την ορθή λήψη των αποφάσεων που θα ακολουθήσουν</w:t>
      </w:r>
      <w:r w:rsidRPr="00AD5CA2">
        <w:rPr>
          <w:rStyle w:val="FootnoteReference"/>
        </w:rPr>
        <w:footnoteReference w:id="86"/>
      </w:r>
      <w:r w:rsidRPr="00AD5CA2">
        <w:t>. Ωστόσο, έχουν εκφραστεί έντονες</w:t>
      </w:r>
      <w:r>
        <w:t xml:space="preserve"> αντιρρήσεις σχετικά με</w:t>
      </w:r>
      <w:r w:rsidRPr="00AD5CA2">
        <w:t xml:space="preserve"> αυτή την π</w:t>
      </w:r>
      <w:r>
        <w:t>ροσέγγιση των διακριτών σταδίων.</w:t>
      </w:r>
      <w:r w:rsidRPr="00AD5CA2">
        <w:t xml:space="preserve"> </w:t>
      </w:r>
      <w:r>
        <w:t xml:space="preserve">Οι εν λόγω αντιρρήσεις </w:t>
      </w:r>
      <w:r w:rsidRPr="00AD5CA2">
        <w:t xml:space="preserve"> στηρίζονται στην αντίληψη ότι η εκτίμηση των κινδύνων περιλαμβάνει και μη επιστημονικά δεδομένα, όπως κοινωνικές προτεραιότητες</w:t>
      </w:r>
      <w:r>
        <w:t>, ηθικές αξίες</w:t>
      </w:r>
      <w:r w:rsidRPr="00AD5CA2">
        <w:t xml:space="preserve"> και πολιτικές επιλογές</w:t>
      </w:r>
      <w:r w:rsidRPr="00AD5CA2">
        <w:rPr>
          <w:rStyle w:val="FootnoteReference"/>
        </w:rPr>
        <w:footnoteReference w:id="87"/>
      </w:r>
      <w:r w:rsidRPr="00AD5CA2">
        <w:t>.</w:t>
      </w:r>
      <w:r w:rsidRPr="00A15F1A">
        <w:t xml:space="preserve"> </w:t>
      </w:r>
      <w:r>
        <w:t>Ομοίως, διεθνείς οργανισμοί κύρους οι οποίοι, κατά το παρελθόν, υπήρξαν από τους κύριους υποστηρικτές αυτού του διαχωρισμού των σταδίων, άρχισαν να αλλάζουν οπτική</w:t>
      </w:r>
      <w:r>
        <w:rPr>
          <w:rStyle w:val="FootnoteReference"/>
        </w:rPr>
        <w:footnoteReference w:id="88"/>
      </w:r>
      <w:r>
        <w:t xml:space="preserve">. Αξίζει, περαιτέρω, να τονιστεί ότι ιδίως σε συνθήκες επιστημονικής αβεβαιότητας ο παραπάνω διαχωρισμός λειτουργεί έτσι ώστε οι αξιολογητές του </w:t>
      </w:r>
      <w:r>
        <w:lastRenderedPageBreak/>
        <w:t xml:space="preserve">κινδύνου (οι επιστήμονες) να καθορίζουν εκείνοι περισσότερο παρά οι διαχειριστές (τα πολιτικά όργανα) την απόφαση. Όπως τονίζει ο </w:t>
      </w:r>
      <w:r w:rsidRPr="00D127C4">
        <w:rPr>
          <w:lang w:val="en-US"/>
        </w:rPr>
        <w:t>G</w:t>
      </w:r>
      <w:r w:rsidRPr="00D127C4">
        <w:t xml:space="preserve">. </w:t>
      </w:r>
      <w:r w:rsidRPr="00D127C4">
        <w:rPr>
          <w:lang w:val="en-US"/>
        </w:rPr>
        <w:t>Majone</w:t>
      </w:r>
      <w:r>
        <w:t>, είναι</w:t>
      </w:r>
      <w:r w:rsidRPr="007F2940">
        <w:t xml:space="preserve"> </w:t>
      </w:r>
      <w:r>
        <w:t>συχνά</w:t>
      </w:r>
      <w:r w:rsidRPr="007F2940">
        <w:t xml:space="preserve"> </w:t>
      </w:r>
      <w:r>
        <w:t>αδύνατο</w:t>
      </w:r>
      <w:r w:rsidRPr="007F2940">
        <w:t xml:space="preserve"> </w:t>
      </w:r>
      <w:r>
        <w:t>να</w:t>
      </w:r>
      <w:r w:rsidRPr="007F2940">
        <w:t xml:space="preserve"> </w:t>
      </w:r>
      <w:r>
        <w:t>εκτιμηθεί</w:t>
      </w:r>
      <w:r w:rsidRPr="007F2940">
        <w:t xml:space="preserve"> αν </w:t>
      </w:r>
      <w:r>
        <w:t>η</w:t>
      </w:r>
      <w:r w:rsidRPr="007F2940">
        <w:t xml:space="preserve"> </w:t>
      </w:r>
      <w:r>
        <w:t>σχέση</w:t>
      </w:r>
      <w:r w:rsidRPr="007F2940">
        <w:t xml:space="preserve"> </w:t>
      </w:r>
      <w:r>
        <w:t>δόσης-απόκρισης είναι γραμμική ή μη γραμμική, ωστόσο η επιλογή του ενός ή του άλλου μοντέλου από τους επιστήμονες είναι κρίσιμης σημασίας για να προσδιοριστεί το αποδεκτό επίπεδο ασφάλειας</w:t>
      </w:r>
      <w:r>
        <w:rPr>
          <w:rStyle w:val="FootnoteReference"/>
        </w:rPr>
        <w:footnoteReference w:id="89"/>
      </w:r>
      <w:r>
        <w:t xml:space="preserve">.  </w:t>
      </w:r>
    </w:p>
    <w:p w:rsidR="008D4F0C" w:rsidRDefault="008D4F0C" w:rsidP="008D4F0C">
      <w:pPr>
        <w:spacing w:line="360" w:lineRule="auto"/>
        <w:jc w:val="both"/>
      </w:pPr>
    </w:p>
    <w:p w:rsidR="008D4F0C" w:rsidRPr="00ED6A82" w:rsidRDefault="008D4F0C" w:rsidP="008D4F0C">
      <w:pPr>
        <w:spacing w:line="360" w:lineRule="auto"/>
        <w:jc w:val="both"/>
        <w:rPr>
          <w:b/>
        </w:rPr>
      </w:pPr>
      <w:r>
        <w:rPr>
          <w:b/>
        </w:rPr>
        <w:t>2.2. Τύπος και μεθοδολογία της επιστημονικής αξιολόγησης</w:t>
      </w:r>
    </w:p>
    <w:p w:rsidR="008D4F0C" w:rsidRDefault="008D4F0C" w:rsidP="008D4F0C">
      <w:pPr>
        <w:spacing w:line="360" w:lineRule="auto"/>
        <w:jc w:val="both"/>
      </w:pPr>
      <w:r>
        <w:t xml:space="preserve">      Θα πρέπει, ωστόσο, να υπογραμμιστεί ότι η επιστημονική αξιολόγηση, ιδίως ο τύπος της επιστημονικής αξιολόγησης που θα χρησιμοποιηθεί,</w:t>
      </w:r>
      <w:r w:rsidRPr="00114C41">
        <w:t xml:space="preserve"> </w:t>
      </w:r>
      <w:r>
        <w:t xml:space="preserve">είναι κρίσιμος παράγοντας. Πράγματι, από τον τύπο αξιολόγησης θα εξαρτηθεί σε σημαντικό αν όχι καθοριστικό βαθμό ποια συμπεράσματα θα εξαχθούν. Είναι γνωστό ότι δεν </w:t>
      </w:r>
      <w:r w:rsidRPr="00DE79E5">
        <w:t xml:space="preserve">υπάρχει κοινά αποδεκτή μεθοδολογία για την </w:t>
      </w:r>
      <w:r>
        <w:t>αξιολόγηση</w:t>
      </w:r>
      <w:r w:rsidRPr="00DE79E5">
        <w:t xml:space="preserve"> του κινδύνου </w:t>
      </w:r>
      <w:r>
        <w:t>ούτε</w:t>
      </w:r>
      <w:r w:rsidRPr="00DE79E5">
        <w:t xml:space="preserve"> αναγνωρίζεται</w:t>
      </w:r>
      <w:r>
        <w:t xml:space="preserve"> κάποια μεθοδολογία ως τέτοια</w:t>
      </w:r>
      <w:r w:rsidRPr="00DE79E5">
        <w:t xml:space="preserve"> στο διεθνές και στο </w:t>
      </w:r>
      <w:r>
        <w:t>ευρωπαϊκό</w:t>
      </w:r>
      <w:r w:rsidRPr="00DE79E5">
        <w:t xml:space="preserve"> δίκαιο</w:t>
      </w:r>
      <w:r w:rsidRPr="00DE79E5">
        <w:rPr>
          <w:rStyle w:val="FootnoteReference"/>
        </w:rPr>
        <w:footnoteReference w:id="90"/>
      </w:r>
      <w:r w:rsidRPr="00DE79E5">
        <w:t>.</w:t>
      </w:r>
      <w:r w:rsidRPr="00122E42">
        <w:rPr>
          <w:rFonts w:ascii="Tahoma" w:hAnsi="Tahoma" w:cs="Tahoma"/>
          <w:sz w:val="22"/>
          <w:szCs w:val="22"/>
        </w:rPr>
        <w:t xml:space="preserve"> </w:t>
      </w:r>
      <w:r>
        <w:t>Αυτό συμβαίνει</w:t>
      </w:r>
      <w:r w:rsidRPr="00122E42">
        <w:t xml:space="preserve"> διότι για το ουσιαστικό περιεχόμενο της εκτίμησης του κινδύνου υπάρχουν αποκλίνουσες απόψεις, τόσο στο αμερικανικό όσο στο </w:t>
      </w:r>
      <w:r>
        <w:t>ευρωπαϊκό</w:t>
      </w:r>
      <w:r w:rsidRPr="00122E42">
        <w:t xml:space="preserve"> </w:t>
      </w:r>
      <w:r>
        <w:t>ή</w:t>
      </w:r>
      <w:r w:rsidRPr="00122E42">
        <w:t xml:space="preserve"> στο διεθνές δίκαιο</w:t>
      </w:r>
      <w:r w:rsidRPr="00122E42">
        <w:rPr>
          <w:rStyle w:val="FootnoteReference"/>
        </w:rPr>
        <w:footnoteReference w:id="91"/>
      </w:r>
      <w:r w:rsidRPr="00122E42">
        <w:t xml:space="preserve">. </w:t>
      </w:r>
      <w:r>
        <w:t xml:space="preserve"> </w:t>
      </w:r>
    </w:p>
    <w:p w:rsidR="008D4F0C" w:rsidRDefault="008D4F0C" w:rsidP="008D4F0C">
      <w:pPr>
        <w:spacing w:line="360" w:lineRule="auto"/>
        <w:jc w:val="both"/>
      </w:pPr>
    </w:p>
    <w:p w:rsidR="008D4F0C" w:rsidRDefault="008D4F0C" w:rsidP="008D4F0C">
      <w:pPr>
        <w:spacing w:line="360" w:lineRule="auto"/>
        <w:jc w:val="both"/>
      </w:pPr>
      <w:r>
        <w:t xml:space="preserve">      Παρ’ όλα αυτά, ως</w:t>
      </w:r>
      <w:r w:rsidRPr="00122E42">
        <w:t xml:space="preserve"> </w:t>
      </w:r>
      <w:r>
        <w:t>επικρατούσα μεθοδολογία  παραμένει η ποσοτική εκτίμηση του κινδύνου η οποία περιλαμβάνει τέσσερα στάδια</w:t>
      </w:r>
      <w:r w:rsidRPr="00122E42">
        <w:t xml:space="preserve">: α) </w:t>
      </w:r>
      <w:r>
        <w:t>τον</w:t>
      </w:r>
      <w:r w:rsidRPr="00122E42">
        <w:t xml:space="preserve"> εντοπισμό της πηγής του κινδύνου, </w:t>
      </w:r>
      <w:r>
        <w:t>β) την</w:t>
      </w:r>
      <w:r w:rsidRPr="00122E42">
        <w:t xml:space="preserve"> εκτίμηση της έκθεσης</w:t>
      </w:r>
      <w:r>
        <w:t>, γ) την εκτίμηση των επιπτώσεων</w:t>
      </w:r>
      <w:r w:rsidRPr="00122E42">
        <w:t xml:space="preserve"> και  δ) </w:t>
      </w:r>
      <w:r>
        <w:t xml:space="preserve">το χαρακτηρισμό </w:t>
      </w:r>
      <w:r w:rsidRPr="00122E42">
        <w:t>του κινδύνου</w:t>
      </w:r>
      <w:r w:rsidRPr="00122E42">
        <w:rPr>
          <w:rStyle w:val="FootnoteReference"/>
        </w:rPr>
        <w:footnoteReference w:id="92"/>
      </w:r>
      <w:r w:rsidRPr="00122E42">
        <w:t>.</w:t>
      </w:r>
      <w:r>
        <w:t xml:space="preserve"> Ο κίνδυνος συνίσταται στις πιθανότητες εμφάνισης αρνητικών επιπτώσεων από μια πηγή κινδύνου (εν προκειμένω το διαγονιδιακό φυτό). Συνίσταται ειδικότερα: α) στις πιθανότητες έκθεσης του περιβάλλοντος σε πηγή κινδύνου (εκτίμηση έκθεσης) και β) στις υπό τις συγκεκριμένες συνθήκες της δεδομένης έκθεσης πιθανότητες εμφάνισης αρνητικών επιπτώσεων (εκτίμηση </w:t>
      </w:r>
      <w:r>
        <w:lastRenderedPageBreak/>
        <w:t>επιπτώσεων). Ο εντοπισμός της πηγής κινδύνου περιλαμβάνει την ταυτοποίηση πιθανών αιτιών των αρνητικών επιπτώσεων, συνήθως, όμως, επεκτείνεται ώστε να συμπεριλάβει την ταυτοποίηση δυνητικών αρνητικών συνεπειών προερχόμενων από ταυτοποιημένες πηγές κινδύνου. Τέλος, ο χαρακτηρισμός κινδύνου είναι η σύνθεση όλων των πληροφοριών σχετικά με τον εκτιμώμενο κίνδυνο</w:t>
      </w:r>
      <w:r>
        <w:rPr>
          <w:rStyle w:val="FootnoteReference"/>
        </w:rPr>
        <w:footnoteReference w:id="93"/>
      </w:r>
      <w:r>
        <w:t>. Η ΑΠΚ που προβλέπεται στην οικεία νομοθεσία της Ε.Ε. στηρίζεται στην παραπάνω μεθοδολογία με μόνη διαφοροποίηση ότι προσθέτει δύο επί πλέον στα παραπάνω τέσσερα στάδια: τον καθορισμό στρατηγικών διαχείρισης και τον προσδιορισμό της συνολικής επικινδυνότητας των ΓΤΟ</w:t>
      </w:r>
      <w:r>
        <w:rPr>
          <w:rStyle w:val="FootnoteReference"/>
        </w:rPr>
        <w:footnoteReference w:id="94"/>
      </w:r>
      <w:r>
        <w:t xml:space="preserve">.  </w:t>
      </w:r>
    </w:p>
    <w:p w:rsidR="008D4F0C" w:rsidRPr="009F193F" w:rsidRDefault="008D4F0C" w:rsidP="008D4F0C">
      <w:pPr>
        <w:spacing w:line="360" w:lineRule="auto"/>
        <w:jc w:val="both"/>
      </w:pPr>
      <w:r>
        <w:t xml:space="preserve">     </w:t>
      </w:r>
    </w:p>
    <w:p w:rsidR="008D4F0C" w:rsidRDefault="008D4F0C" w:rsidP="008D4F0C">
      <w:pPr>
        <w:spacing w:line="360" w:lineRule="auto"/>
        <w:jc w:val="both"/>
      </w:pPr>
      <w:r>
        <w:t xml:space="preserve">     Η</w:t>
      </w:r>
      <w:r w:rsidRPr="00AD5CA2">
        <w:t xml:space="preserve"> χρησιμοποιούμενη μεθοδολογία για την </w:t>
      </w:r>
      <w:r>
        <w:t>αξιολόγηση</w:t>
      </w:r>
      <w:r w:rsidRPr="00AD5CA2">
        <w:t xml:space="preserve"> του κινδύνου</w:t>
      </w:r>
      <w:r>
        <w:t xml:space="preserve"> </w:t>
      </w:r>
      <w:r w:rsidRPr="00AD5CA2">
        <w:t>παρουσιάζει σοβαρά μειονεκτήματα, κυρίως σε ότι αφορά στην</w:t>
      </w:r>
      <w:r>
        <w:t xml:space="preserve"> επιστημονική πληροφόρηση</w:t>
      </w:r>
      <w:r>
        <w:rPr>
          <w:rStyle w:val="FootnoteReference"/>
        </w:rPr>
        <w:footnoteReference w:id="95"/>
      </w:r>
      <w:r>
        <w:t>. Η τελευταία</w:t>
      </w:r>
      <w:r w:rsidRPr="00AD5CA2">
        <w:t xml:space="preserve"> δεν είναι επαρκής</w:t>
      </w:r>
      <w:r>
        <w:t xml:space="preserve"> λόγω του πολύπλοκου και δυναμικού και ανοιχτού χαρακτήρα των οικοσυστημάτων</w:t>
      </w:r>
      <w:r>
        <w:rPr>
          <w:rStyle w:val="FootnoteReference"/>
        </w:rPr>
        <w:footnoteReference w:id="96"/>
      </w:r>
      <w:r>
        <w:t>. Ε</w:t>
      </w:r>
      <w:r w:rsidRPr="00AD5CA2">
        <w:t>πί πλέον</w:t>
      </w:r>
      <w:r>
        <w:t>,</w:t>
      </w:r>
      <w:r w:rsidRPr="00AD5CA2">
        <w:t xml:space="preserve"> στηρίζεται σε αμφισβητούμενα συγκριτικά αποτελέσματα </w:t>
      </w:r>
      <w:r>
        <w:t>καθόσον</w:t>
      </w:r>
      <w:r w:rsidRPr="00AD5CA2">
        <w:t xml:space="preserve"> α) τα συμπεράσματα με βάση τις βραχυχρόνιες εκθέσεις</w:t>
      </w:r>
      <w:r>
        <w:t xml:space="preserve"> ενδέχεται να μην</w:t>
      </w:r>
      <w:r w:rsidRPr="00AD5CA2">
        <w:t xml:space="preserve"> ισχύουν και για</w:t>
      </w:r>
      <w:r>
        <w:t xml:space="preserve"> τις μακροχρόνιες εκθέσεις και β</w:t>
      </w:r>
      <w:r w:rsidRPr="00AD5CA2">
        <w:t>) τα συμπεράσματα με βάση τα πειράματα στα ζώα</w:t>
      </w:r>
      <w:r>
        <w:t xml:space="preserve"> ενδέχεται να μην</w:t>
      </w:r>
      <w:r w:rsidRPr="00AD5CA2">
        <w:t xml:space="preserve"> ισχύουν και για τους ανθρώπους</w:t>
      </w:r>
      <w:r w:rsidRPr="00AD5CA2">
        <w:rPr>
          <w:rStyle w:val="FootnoteReference"/>
        </w:rPr>
        <w:footnoteReference w:id="97"/>
      </w:r>
      <w:r>
        <w:t>.</w:t>
      </w:r>
      <w:r w:rsidRPr="00AD5CA2">
        <w:t xml:space="preserve"> </w:t>
      </w:r>
      <w:r>
        <w:t>Επίσης,</w:t>
      </w:r>
      <w:r w:rsidRPr="00AD5CA2">
        <w:t xml:space="preserve"> αγνοείται η λειτουργία της συνέργι</w:t>
      </w:r>
      <w:r>
        <w:t>ας των πολλαπλών πηγών κινδύνου. Σ</w:t>
      </w:r>
      <w:r w:rsidRPr="00AD5CA2">
        <w:t xml:space="preserve">ε κάθε </w:t>
      </w:r>
      <w:r>
        <w:t>όμως</w:t>
      </w:r>
      <w:r w:rsidRPr="00AD5CA2">
        <w:t xml:space="preserve"> περίπτωση αυτή η προσέγγιση, όπως είναι φυσικό, προϋποθέτει τον περιορισμό του κινδύνου σε συγκεκριμένο χρόνο και χώρο, </w:t>
      </w:r>
      <w:r w:rsidRPr="00AD5CA2">
        <w:lastRenderedPageBreak/>
        <w:t>διαφορετικά είναι αδύνατη η αξιολόγηση</w:t>
      </w:r>
      <w:r>
        <w:rPr>
          <w:rStyle w:val="FootnoteReference"/>
        </w:rPr>
        <w:footnoteReference w:id="98"/>
      </w:r>
      <w:r w:rsidRPr="00AD5CA2">
        <w:t>. Κάτι τέτοιο όμως σπανίως συμβαίνει με τους σύγχρονους περιβαλλοντικούς κινδύνους</w:t>
      </w:r>
      <w:r>
        <w:t>, πολύ δε περισσότερο με τους ΓΤΟ</w:t>
      </w:r>
      <w:r w:rsidRPr="00AD5CA2">
        <w:rPr>
          <w:rStyle w:val="FootnoteReference"/>
        </w:rPr>
        <w:footnoteReference w:id="99"/>
      </w:r>
      <w:r w:rsidRPr="00AD5CA2">
        <w:t>.</w:t>
      </w:r>
    </w:p>
    <w:p w:rsidR="008D4F0C" w:rsidRDefault="008D4F0C" w:rsidP="008D4F0C">
      <w:pPr>
        <w:spacing w:line="360" w:lineRule="auto"/>
        <w:jc w:val="both"/>
      </w:pPr>
    </w:p>
    <w:p w:rsidR="008D4F0C" w:rsidRPr="00957BE0" w:rsidRDefault="008D4F0C" w:rsidP="008D4F0C">
      <w:pPr>
        <w:spacing w:line="360" w:lineRule="auto"/>
        <w:jc w:val="both"/>
      </w:pPr>
      <w:r>
        <w:t xml:space="preserve">     Ειδικότερα, η ΑΠΚ των ΓΤΟ παρουσιάζει ελλείψεις καθώς σημαντικά επιστημονικά ζητήματα δεν έχουν εξεταστεί διεξοδικά και αξιόπιστα. Ζητήματα, όπως, ποιος είναι ο αναγκαίος βαθμός κατανόησης του οργανισμού δέκτη και του περιβάλλοντος ώστε να υπάρξει αξιόπιστη ΑΠΚ ή ποια είναι η κατάλληλη σύγκριση για την αξιολόγηση του κινδύνου ή τι συνιστά σε τελική ανάλυση περιβαλλοντική βλάβη, βρίσκονται ακόμη σε εκκρεμότητα</w:t>
      </w:r>
      <w:r>
        <w:rPr>
          <w:rStyle w:val="FootnoteReference"/>
        </w:rPr>
        <w:footnoteReference w:id="100"/>
      </w:r>
      <w:r>
        <w:t>. Τέλος το σημαντικότερο ζήτημα που αναφύεται κατά τον προσδιορισμό των αρνητικών επιπτώσεων των διαγονιδιακών φυτών στη βιολογική ποικιλομορφία είναι πώς να διαχωρίσουμε τη φυσική ποικιλότητα από τις αλλαγές των γονότυπων, των ειδών και των λειτουργιών των οικοσυστημάτων που προκαλούνται από την καλλιέργεια διαγονιδιακών φυτών. Και αυτό το ζήτημα</w:t>
      </w:r>
      <w:r w:rsidRPr="006D1035">
        <w:t xml:space="preserve"> </w:t>
      </w:r>
      <w:r>
        <w:t>δεν έχει ακόμη επιλυθεί</w:t>
      </w:r>
      <w:r>
        <w:rPr>
          <w:rStyle w:val="FootnoteReference"/>
        </w:rPr>
        <w:footnoteReference w:id="101"/>
      </w:r>
      <w:r>
        <w:t>.</w:t>
      </w:r>
      <w:r w:rsidRPr="00957BE0">
        <w:t xml:space="preserve"> </w:t>
      </w:r>
    </w:p>
    <w:p w:rsidR="008D4F0C" w:rsidRPr="00957BE0" w:rsidRDefault="008D4F0C" w:rsidP="008D4F0C">
      <w:pPr>
        <w:spacing w:line="360" w:lineRule="auto"/>
        <w:jc w:val="both"/>
      </w:pPr>
    </w:p>
    <w:p w:rsidR="008D4F0C" w:rsidRDefault="008D4F0C" w:rsidP="008D4F0C">
      <w:pPr>
        <w:spacing w:line="360" w:lineRule="auto"/>
        <w:jc w:val="both"/>
      </w:pPr>
      <w:r w:rsidRPr="00B7277A">
        <w:t xml:space="preserve">    </w:t>
      </w:r>
      <w:r w:rsidRPr="008B254E">
        <w:t xml:space="preserve"> </w:t>
      </w:r>
      <w:r>
        <w:rPr>
          <w:lang w:val="en-US"/>
        </w:rPr>
        <w:t>H</w:t>
      </w:r>
      <w:r w:rsidRPr="008B254E">
        <w:t xml:space="preserve"> </w:t>
      </w:r>
      <w:r>
        <w:rPr>
          <w:lang w:val="fr-FR"/>
        </w:rPr>
        <w:t>EFS</w:t>
      </w:r>
      <w:r>
        <w:rPr>
          <w:lang w:val="en-US"/>
        </w:rPr>
        <w:t>A</w:t>
      </w:r>
      <w:r>
        <w:t>, κατόπιν απαίτησης της Ευρωπαϊκής Επιτροπής</w:t>
      </w:r>
      <w:r w:rsidRPr="008C400D">
        <w:t xml:space="preserve"> </w:t>
      </w:r>
      <w:r>
        <w:t>να βελτιωθεί η ΑΠΚ των ΓΤΟ</w:t>
      </w:r>
      <w:r>
        <w:rPr>
          <w:rStyle w:val="FootnoteReference"/>
        </w:rPr>
        <w:t xml:space="preserve"> </w:t>
      </w:r>
      <w:r>
        <w:rPr>
          <w:rStyle w:val="FootnoteReference"/>
        </w:rPr>
        <w:footnoteReference w:id="102"/>
      </w:r>
      <w:r>
        <w:t xml:space="preserve"> δημοσίευσε κατευθυντήριες γραμμές</w:t>
      </w:r>
      <w:r>
        <w:rPr>
          <w:rStyle w:val="FootnoteReference"/>
        </w:rPr>
        <w:footnoteReference w:id="103"/>
      </w:r>
      <w:r>
        <w:t>.</w:t>
      </w:r>
      <w:r w:rsidRPr="007F13D7">
        <w:t xml:space="preserve"> </w:t>
      </w:r>
      <w:r>
        <w:t>Πρόκειται για κατευθύνσεις σχετικά με τη</w:t>
      </w:r>
      <w:r w:rsidRPr="00B7277A">
        <w:t xml:space="preserve"> </w:t>
      </w:r>
      <w:r>
        <w:t xml:space="preserve">διεξαγωγή ΑΠΚ όπως προβλέπεται στην οδηγία 2001/18 και στον Κανονισμό 1829/2003. Οι ως άνω κατευθυντήριες αρχές δεν έχουν μεν δεσμευτικό χαρακτήρα πλην όμως έχουν βαρύνουσα σημασία διότι πρόκειται για κείμενο που συντάχθηκε από την ίδια την </w:t>
      </w:r>
      <w:r>
        <w:rPr>
          <w:lang w:val="en-US"/>
        </w:rPr>
        <w:t>EFSA</w:t>
      </w:r>
      <w:r>
        <w:t>,</w:t>
      </w:r>
      <w:r w:rsidRPr="007F13D7">
        <w:t xml:space="preserve"> </w:t>
      </w:r>
      <w:r>
        <w:t>την αρμόδια δηλαδή αρχή που είναι επιφορτισμένη με τη διεξαγωγή της ΑΠΚ.</w:t>
      </w:r>
      <w:r w:rsidRPr="008C400D">
        <w:t xml:space="preserve"> </w:t>
      </w:r>
      <w:r>
        <w:t xml:space="preserve">Παρά το ότι αποσαφηνίζονται πολλά σημεία σχετικά με τη διεξαγωγή ΑΠΚ ωστόσο, ένα σημείο των κατευθυντήριων γραμμών της  </w:t>
      </w:r>
      <w:r>
        <w:rPr>
          <w:lang w:val="en-US"/>
        </w:rPr>
        <w:t>EFSA</w:t>
      </w:r>
      <w:r>
        <w:t xml:space="preserve"> εγείρει σοβαρούς προβληματισμούς</w:t>
      </w:r>
      <w:r>
        <w:rPr>
          <w:rStyle w:val="FootnoteReference"/>
        </w:rPr>
        <w:footnoteReference w:id="104"/>
      </w:r>
      <w:r>
        <w:t xml:space="preserve">. </w:t>
      </w:r>
      <w:r w:rsidRPr="00823F53">
        <w:t xml:space="preserve"> </w:t>
      </w:r>
      <w:r>
        <w:t>Πρόκειται για τη συγκριτική αξιολόγηση ασφάλειας ως νέας αρχής της ΑΠΚ .   Η συγκριτική αξιολόγηση ασφάλειας</w:t>
      </w:r>
      <w:r>
        <w:rPr>
          <w:rStyle w:val="FootnoteReference"/>
        </w:rPr>
        <w:footnoteReference w:id="105"/>
      </w:r>
      <w:r>
        <w:t xml:space="preserve"> δεν </w:t>
      </w:r>
      <w:r>
        <w:lastRenderedPageBreak/>
        <w:t>είναι τίποτε άλλο παρά η γνωστή ‘‘ουσιαστική ισοδυναμία’’</w:t>
      </w:r>
      <w:r>
        <w:rPr>
          <w:rStyle w:val="FootnoteReference"/>
        </w:rPr>
        <w:footnoteReference w:id="106"/>
      </w:r>
      <w:r>
        <w:t>.</w:t>
      </w:r>
      <w:r w:rsidRPr="004F55DE">
        <w:t xml:space="preserve"> </w:t>
      </w:r>
      <w:r>
        <w:t>Η εισαγωγή της συγκριτικής αξιολόγησης ασφάλειας ως νέας αρχής της ΑΠΚ δεν περιλαμβάνεται στις αρχές που αναφέρονται στη νομοθεσία της Ε.Ε. για τους ΓΤΟ και, κατά συνέπεια, η εισαγωγή της αντίκειται στην οικεία νομοθεσία</w:t>
      </w:r>
      <w:r>
        <w:rPr>
          <w:rStyle w:val="FootnoteReference"/>
        </w:rPr>
        <w:footnoteReference w:id="107"/>
      </w:r>
      <w:r>
        <w:t xml:space="preserve">. Επί πλέον, είναι άξιο μνείας το γεγονός ότι η συγκριτική αξιολόγηση ασφάλειας υποστηρίζεται σθεναρά από τον αγροτοβιομηχανικό τομέα ο οποίος διατηρεί στενούς δεσμούς με την </w:t>
      </w:r>
      <w:r>
        <w:rPr>
          <w:lang w:val="en-US"/>
        </w:rPr>
        <w:t>EFSA</w:t>
      </w:r>
      <w:r>
        <w:rPr>
          <w:rStyle w:val="FootnoteReference"/>
          <w:lang w:val="en-US"/>
        </w:rPr>
        <w:footnoteReference w:id="108"/>
      </w:r>
      <w:r w:rsidRPr="004F55DE">
        <w:t>.</w:t>
      </w:r>
      <w:r>
        <w:t xml:space="preserve"> Περαιτέρω, ισχύουν και εν προκειμένω όσα διατυπώθηκαν σχετικά με την ουσιαστική ισοδυναμία.    </w:t>
      </w:r>
    </w:p>
    <w:p w:rsidR="008D4F0C" w:rsidRPr="008C400D" w:rsidRDefault="008D4F0C" w:rsidP="008D4F0C">
      <w:pPr>
        <w:spacing w:line="360" w:lineRule="auto"/>
        <w:jc w:val="both"/>
      </w:pPr>
      <w:r>
        <w:t xml:space="preserve">    </w:t>
      </w:r>
    </w:p>
    <w:p w:rsidR="008D4F0C" w:rsidRDefault="008D4F0C" w:rsidP="008D4F0C">
      <w:pPr>
        <w:spacing w:line="360" w:lineRule="auto"/>
        <w:jc w:val="both"/>
        <w:rPr>
          <w:b/>
        </w:rPr>
      </w:pPr>
      <w:r>
        <w:rPr>
          <w:b/>
        </w:rPr>
        <w:t>3. Η διάκριση των σταδίων και ο ρόλος της αρχής της προφύλαξης</w:t>
      </w:r>
    </w:p>
    <w:p w:rsidR="008D4F0C" w:rsidRDefault="008D4F0C" w:rsidP="008D4F0C">
      <w:pPr>
        <w:spacing w:line="360" w:lineRule="auto"/>
        <w:jc w:val="both"/>
      </w:pPr>
      <w:r>
        <w:rPr>
          <w:b/>
        </w:rPr>
        <w:t xml:space="preserve">     </w:t>
      </w:r>
      <w:r>
        <w:t xml:space="preserve">Όπως ήδη αναφέρθηκε, η διάκριση των σταδίων της αξιολόγησης και της διαχείρισης του κινδύνου δεν είναι απόλυτη καθώς, στην πράξη, δεν υπάρχουν μεταξύ τους σαφείς διαχωριστικές γραμμές. Εν όψει της παραπάνω παραδοχής τίθεται το ζήτημα εάν η αρχή της προφύλαξης εφαρμόζεται μόνο στο ύστερο στάδιο της διαχείρισης ή και στο πρότερο της αξιολόγησης του κινδύνου. </w:t>
      </w:r>
    </w:p>
    <w:p w:rsidR="008D4F0C" w:rsidRDefault="008D4F0C" w:rsidP="008D4F0C">
      <w:pPr>
        <w:spacing w:line="360" w:lineRule="auto"/>
        <w:jc w:val="both"/>
      </w:pPr>
    </w:p>
    <w:p w:rsidR="008D4F0C" w:rsidRDefault="008D4F0C" w:rsidP="008D4F0C">
      <w:pPr>
        <w:spacing w:line="360" w:lineRule="auto"/>
        <w:jc w:val="both"/>
      </w:pPr>
      <w:r>
        <w:t xml:space="preserve">     Κατά πρώτο λόγο θα πρέπει να τονιστεί ότι η άποψη περί σαφούς διαχωρισμού των ως άνω σταδίων περιορίζει  την εφαρμογή της αρχής της προφύλαξης σ’ εκείνο της διαχείρισης του κινδύνου</w:t>
      </w:r>
      <w:r>
        <w:rPr>
          <w:rStyle w:val="FootnoteReference"/>
        </w:rPr>
        <w:footnoteReference w:id="109"/>
      </w:r>
      <w:r>
        <w:t>. Το επιχείρημα που προβάλλεται είναι ότι η αξιολόγηση του κινδύνου βασίζεται στην επιστήμη και κατά συνέπεια θα πρέπει η τελευταία να μην νοθεύεται από άλλους παράγοντες. Έτσι, λοιπόν, στο στάδιο της αξιολόγησης του κινδύνου γίνεται λόγος για ‘‘προφυλακτική προσέγγιση’’ η οποία είναι διακριτή από την ‘‘αρχή της προφύλαξης’’ η οποία εφαρμόζεται στο ύστερο στάδιο της διαχείρισης του κινδύνου</w:t>
      </w:r>
      <w:r>
        <w:rPr>
          <w:rStyle w:val="FootnoteReference"/>
        </w:rPr>
        <w:footnoteReference w:id="110"/>
      </w:r>
      <w:r>
        <w:t xml:space="preserve">. Όπως χαρακτηριστικά τονίζεται, στο μεν στάδιο της αξιολόγησης οι επιστήμονες επιδεικνύουν πρόνοια και φρόνηση, στο δε </w:t>
      </w:r>
      <w:r>
        <w:lastRenderedPageBreak/>
        <w:t>ύστερο στάδιο της διαχείρισης του κινδύνου τα αρμόδια όργανα προσφεύγουν στην αρχή της προφύλαξης όταν πληρούνται οι προϋποθέσεις εφαρμογής της</w:t>
      </w:r>
      <w:r>
        <w:rPr>
          <w:rStyle w:val="FootnoteReference"/>
        </w:rPr>
        <w:footnoteReference w:id="111"/>
      </w:r>
      <w:r>
        <w:t>.</w:t>
      </w:r>
    </w:p>
    <w:p w:rsidR="008D4F0C" w:rsidRDefault="008D4F0C" w:rsidP="008D4F0C">
      <w:pPr>
        <w:spacing w:line="360" w:lineRule="auto"/>
        <w:jc w:val="both"/>
      </w:pPr>
    </w:p>
    <w:p w:rsidR="008D4F0C" w:rsidRDefault="008D4F0C" w:rsidP="008D4F0C">
      <w:pPr>
        <w:spacing w:line="360" w:lineRule="auto"/>
        <w:jc w:val="both"/>
      </w:pPr>
      <w:r>
        <w:t xml:space="preserve">       Για να διαλευκανθεί  το ζήτημα εάν η αρχή της προφύλαξης εφαρμόζεται σε όλη τη διαδικασία της ανάλυσης του κινδύνου θα πρέπει να αποσαφηνιστεί ο χαρακτήρας της. Τόσο η θεωρία όσο και η νομολογία έχουν υιοθετήσει την άποψη ότι  η ως άνω αρχή είναι διαδικαστική ή διαδικαστική και ουσιαστική ταυτόχρονα</w:t>
      </w:r>
      <w:r>
        <w:rPr>
          <w:rStyle w:val="FootnoteReference"/>
        </w:rPr>
        <w:footnoteReference w:id="112"/>
      </w:r>
      <w:r>
        <w:t>. Συνεπώς, είναι φυσικό η εφαρμογή της να εκτείνεται σε όλα τα στάδια της ανάλυσης του κινδύνου διότι διαφορετικά δεν μπορεί να γίνεται λόγος για διαδικαστικό χαρακτήρα της αρχής</w:t>
      </w:r>
      <w:r>
        <w:rPr>
          <w:rStyle w:val="FootnoteReference"/>
        </w:rPr>
        <w:footnoteReference w:id="113"/>
      </w:r>
      <w:r>
        <w:t>. Ο τελευταίος περιγράφεται ως εξής: «Καθώς η αρχή αναφέρεται στη διαδικασία απαιτεί από τα όργανα που αποφασίζουν να αντανακλάται στο πώς αυτά αιτιολογούν τις αποφάσεις τους, ποιοι παράγοντες είναι οι κατάλληλοι για τη διαμόρφωση μιας απόφασης, πώς θα ληφθεί η απόφαση και ποιοι θα πρέπει να εμπλακούν στη διαδικασία λήψης της απόφασης»</w:t>
      </w:r>
      <w:r>
        <w:rPr>
          <w:rStyle w:val="FootnoteReference"/>
        </w:rPr>
        <w:footnoteReference w:id="114"/>
      </w:r>
      <w:r>
        <w:t>.</w:t>
      </w:r>
    </w:p>
    <w:p w:rsidR="008D4F0C" w:rsidRDefault="008D4F0C" w:rsidP="008D4F0C">
      <w:pPr>
        <w:spacing w:line="360" w:lineRule="auto"/>
        <w:jc w:val="both"/>
      </w:pPr>
    </w:p>
    <w:p w:rsidR="008D4F0C" w:rsidRDefault="008D4F0C" w:rsidP="008D4F0C">
      <w:pPr>
        <w:spacing w:line="360" w:lineRule="auto"/>
        <w:jc w:val="both"/>
      </w:pPr>
      <w:r>
        <w:t xml:space="preserve">     Με βάση την παραπάνω παραδοχή, η αρχή της προφύλαξης πρέπει να εφαρμόζεται και στο στάδιο της επιστημονικής αξιολόγησης του κινδύνου. Στην περίπτωση αυτή επιφέρει συγκεκριμένες συνέπειες. Ειδικότερα, επιβάλλει να γίνεται αναφορά στην επιστημονική αβεβαιότητα, η οποία μπορεί να προκύπτει είτε από τη συμφωνία στην επιστημονική κοινότητα ότι ένα ζήτημα διαπερνάται από αυτή την </w:t>
      </w:r>
      <w:r>
        <w:lastRenderedPageBreak/>
        <w:t>αβεβαιότητα είτε από την υποχρεωτική παράθεση των διαφορετικών γνωμών που έχουν διατυπωθεί, ακόμη και των μειοψηφουσών. Επί πλέον, υποχρεώνει σε διαβούλευση τόσο μεταξύ των επιστημόνων όσο και μεταξύ των επιστημόνων και του κοινού</w:t>
      </w:r>
      <w:r>
        <w:rPr>
          <w:rStyle w:val="FootnoteReference"/>
        </w:rPr>
        <w:footnoteReference w:id="115"/>
      </w:r>
      <w:r>
        <w:t>.</w:t>
      </w:r>
    </w:p>
    <w:p w:rsidR="008D4F0C" w:rsidRDefault="008D4F0C" w:rsidP="008D4F0C">
      <w:pPr>
        <w:spacing w:line="360" w:lineRule="auto"/>
        <w:jc w:val="both"/>
      </w:pPr>
    </w:p>
    <w:p w:rsidR="008D4F0C" w:rsidRDefault="008D4F0C" w:rsidP="008D4F0C">
      <w:pPr>
        <w:pStyle w:val="BodyText2"/>
        <w:numPr>
          <w:ilvl w:val="12"/>
          <w:numId w:val="0"/>
        </w:numPr>
        <w:jc w:val="both"/>
        <w:rPr>
          <w:rFonts w:ascii="Times New Roman" w:hAnsi="Times New Roman"/>
          <w:szCs w:val="24"/>
        </w:rPr>
      </w:pPr>
      <w:r w:rsidRPr="00D84EE3">
        <w:rPr>
          <w:rFonts w:ascii="Times New Roman" w:hAnsi="Times New Roman"/>
        </w:rPr>
        <w:t xml:space="preserve">     Όπως ήδη αναφέρθηκε η αρχή της προφύλαξης έχει και ουσιαστικό χαρακτήρα. Αυτό σημαίνει ότι η εν λόγω αρχή μπορεί να επηρεάσει</w:t>
      </w:r>
      <w:r>
        <w:rPr>
          <w:rFonts w:ascii="Times New Roman" w:hAnsi="Times New Roman"/>
        </w:rPr>
        <w:t xml:space="preserve"> ευθέως</w:t>
      </w:r>
      <w:r w:rsidRPr="00D84EE3">
        <w:rPr>
          <w:rFonts w:ascii="Times New Roman" w:hAnsi="Times New Roman"/>
        </w:rPr>
        <w:t xml:space="preserve"> τα επιστημονικά συμπεράσματα. Μια τέτοια περίπτωση είναι   η επιλογή της μεθόδου πιθανολόγησης του κινδύνου. Πράγματι, είναι </w:t>
      </w:r>
      <w:r>
        <w:rPr>
          <w:rFonts w:ascii="Times New Roman" w:hAnsi="Times New Roman"/>
        </w:rPr>
        <w:t>ευρέως</w:t>
      </w:r>
      <w:r w:rsidRPr="00D84EE3">
        <w:rPr>
          <w:rFonts w:ascii="Times New Roman" w:hAnsi="Times New Roman"/>
        </w:rPr>
        <w:t xml:space="preserve"> αποδεκτό ότι </w:t>
      </w:r>
      <w:r w:rsidRPr="00D84EE3">
        <w:rPr>
          <w:rFonts w:ascii="Times New Roman" w:hAnsi="Times New Roman"/>
          <w:szCs w:val="24"/>
        </w:rPr>
        <w:t>η αρχή της προφύλαξης</w:t>
      </w:r>
      <w:r w:rsidRPr="00D84EE3">
        <w:rPr>
          <w:rFonts w:ascii="Times New Roman" w:hAnsi="Times New Roman"/>
        </w:rPr>
        <w:t xml:space="preserve"> εφαρμόζεται  σ</w:t>
      </w:r>
      <w:r w:rsidRPr="00D84EE3">
        <w:rPr>
          <w:rFonts w:ascii="Times New Roman" w:hAnsi="Times New Roman"/>
          <w:szCs w:val="24"/>
        </w:rPr>
        <w:t>τις</w:t>
      </w:r>
      <w:r w:rsidRPr="001C7D7D">
        <w:rPr>
          <w:rFonts w:ascii="Times New Roman" w:hAnsi="Times New Roman"/>
          <w:szCs w:val="24"/>
        </w:rPr>
        <w:t xml:space="preserve"> λεγόμενες ‘‘</w:t>
      </w:r>
      <w:r w:rsidRPr="001C7D7D">
        <w:rPr>
          <w:rFonts w:ascii="Times New Roman" w:hAnsi="Times New Roman"/>
          <w:szCs w:val="24"/>
          <w:lang w:val="en-US"/>
        </w:rPr>
        <w:t>false</w:t>
      </w:r>
      <w:r w:rsidRPr="001C7D7D">
        <w:rPr>
          <w:rFonts w:ascii="Times New Roman" w:hAnsi="Times New Roman"/>
          <w:szCs w:val="24"/>
        </w:rPr>
        <w:t xml:space="preserve"> </w:t>
      </w:r>
      <w:r w:rsidRPr="001C7D7D">
        <w:rPr>
          <w:rFonts w:ascii="Times New Roman" w:hAnsi="Times New Roman"/>
          <w:szCs w:val="24"/>
          <w:lang w:val="en-US"/>
        </w:rPr>
        <w:t>negatives</w:t>
      </w:r>
      <w:r w:rsidRPr="001C7D7D">
        <w:rPr>
          <w:rFonts w:ascii="Times New Roman" w:hAnsi="Times New Roman"/>
          <w:szCs w:val="24"/>
        </w:rPr>
        <w:t>” καταστάσεις στις οποίες επιβάλλει τον περιορισμό των λαθών Τύπου ΙΙ</w:t>
      </w:r>
      <w:r w:rsidRPr="001C7D7D">
        <w:rPr>
          <w:rStyle w:val="FootnoteReference"/>
          <w:szCs w:val="24"/>
        </w:rPr>
        <w:footnoteReference w:id="116"/>
      </w:r>
      <w:r w:rsidRPr="001C7D7D">
        <w:rPr>
          <w:rFonts w:ascii="Times New Roman" w:hAnsi="Times New Roman"/>
          <w:szCs w:val="24"/>
        </w:rPr>
        <w:t>.</w:t>
      </w:r>
      <w:r>
        <w:rPr>
          <w:rFonts w:ascii="Times New Roman" w:hAnsi="Times New Roman"/>
          <w:szCs w:val="24"/>
        </w:rPr>
        <w:t xml:space="preserve"> Αυτό σημαίνει, όπως θα καταδειχθεί στη συνέχεια, ότι επηρεάζει τη στατιστική αξιολόγηση του κινδύνου και, κατά συνέπεια, επιδρά με ουσιαστικό τρόπο στη λήψη της απόφασης.</w:t>
      </w:r>
    </w:p>
    <w:p w:rsidR="008D4F0C" w:rsidRDefault="008D4F0C" w:rsidP="008D4F0C">
      <w:pPr>
        <w:pStyle w:val="BodyText2"/>
        <w:numPr>
          <w:ilvl w:val="12"/>
          <w:numId w:val="0"/>
        </w:numPr>
        <w:jc w:val="both"/>
        <w:rPr>
          <w:rFonts w:ascii="Times New Roman" w:hAnsi="Times New Roman"/>
          <w:szCs w:val="24"/>
        </w:rPr>
      </w:pPr>
    </w:p>
    <w:p w:rsidR="008D4F0C" w:rsidRPr="00960A9B" w:rsidRDefault="008D4F0C" w:rsidP="008D4F0C">
      <w:pPr>
        <w:pStyle w:val="BodyText2"/>
        <w:numPr>
          <w:ilvl w:val="12"/>
          <w:numId w:val="0"/>
        </w:numPr>
        <w:jc w:val="both"/>
        <w:rPr>
          <w:rFonts w:ascii="Times New Roman" w:hAnsi="Times New Roman"/>
          <w:szCs w:val="24"/>
        </w:rPr>
      </w:pPr>
      <w:r w:rsidRPr="00960A9B">
        <w:rPr>
          <w:rFonts w:ascii="Times New Roman" w:hAnsi="Times New Roman"/>
          <w:szCs w:val="24"/>
        </w:rPr>
        <w:t xml:space="preserve">     </w:t>
      </w:r>
      <w:r w:rsidRPr="00960A9B">
        <w:t xml:space="preserve"> </w:t>
      </w:r>
      <w:r w:rsidRPr="00960A9B">
        <w:rPr>
          <w:rFonts w:ascii="Times New Roman" w:hAnsi="Times New Roman"/>
          <w:szCs w:val="24"/>
        </w:rPr>
        <w:t>Συγκεκριμένα, όταν πρόκειται να ληφθεί μία απόφαση στη βάση μιας υπόθεσης είναι δυνατόν να εμφανιστούν δύο ειδών τύποι λαθών</w:t>
      </w:r>
      <w:r w:rsidRPr="00960A9B">
        <w:rPr>
          <w:rStyle w:val="FootnoteReference"/>
          <w:szCs w:val="24"/>
        </w:rPr>
        <w:footnoteReference w:id="117"/>
      </w:r>
      <w:r w:rsidRPr="00960A9B">
        <w:rPr>
          <w:rFonts w:ascii="Times New Roman" w:hAnsi="Times New Roman"/>
          <w:szCs w:val="24"/>
        </w:rPr>
        <w:t>. Η πλέον καθιερωμένη στην επιστήμη προσέγγιση είναι αυτή που αποσκοπεί στο να περιορίσει ή να αποφύγει την πιθανότητα του λαθεμένου συμπεράσματος ότι υπάρχει επίπτωση ενώ στην πραγματικότητα δεν υπάρχει</w:t>
      </w:r>
      <w:r w:rsidRPr="00960A9B">
        <w:rPr>
          <w:rStyle w:val="FootnoteReference"/>
          <w:szCs w:val="24"/>
        </w:rPr>
        <w:footnoteReference w:id="118"/>
      </w:r>
      <w:r w:rsidRPr="00960A9B">
        <w:rPr>
          <w:rFonts w:ascii="Times New Roman" w:hAnsi="Times New Roman"/>
          <w:szCs w:val="24"/>
        </w:rPr>
        <w:t xml:space="preserve">. Αυτή η άποψη ονομάστηκε ‘‘λάθος τύπου Ι’’ και μπορεί να οδηγήσει την αρμόδια διοικητική αρχή να συμπεράνει λανθασμένα ότι υπάρχει σχέση αιτίου και αιτιατού και να προβεί εξ αυτού του λόγου στην επιβολή μη </w:t>
      </w:r>
      <w:r w:rsidRPr="00960A9B">
        <w:rPr>
          <w:rFonts w:ascii="Times New Roman" w:hAnsi="Times New Roman"/>
          <w:szCs w:val="24"/>
        </w:rPr>
        <w:lastRenderedPageBreak/>
        <w:t>αναγκαίων περιοριστικών ρυθμίσεων</w:t>
      </w:r>
      <w:r w:rsidRPr="00960A9B">
        <w:rPr>
          <w:rStyle w:val="FootnoteReference"/>
          <w:szCs w:val="24"/>
        </w:rPr>
        <w:footnoteReference w:id="119"/>
      </w:r>
      <w:r w:rsidRPr="00960A9B">
        <w:rPr>
          <w:rFonts w:ascii="Times New Roman" w:hAnsi="Times New Roman"/>
          <w:szCs w:val="24"/>
        </w:rPr>
        <w:t>. Η δεύτερη προσέγγιση, πολύ πιο σπάνια, αποσκοπεί στο να περιορίσει ή να αποφύγει την πιθανότητα του λαθεμένου συμπεράσματος ότι δεν υπάρχει επίπτωση ενώ στην πραγματικότητα υπάρχει. Αυτή η άποψη που ονομάστηκε ‘‘λάθος τύπου ΙΙ’’ οδηγεί στο να μην υπάρξουν ρυθμίσεις επειδή πιστεύεται –λαθεμένα- ότι δεν υπάρχει επίπτωση</w:t>
      </w:r>
      <w:r w:rsidRPr="00960A9B">
        <w:rPr>
          <w:rStyle w:val="FootnoteReference"/>
          <w:szCs w:val="24"/>
        </w:rPr>
        <w:footnoteReference w:id="120"/>
      </w:r>
      <w:r w:rsidRPr="00960A9B">
        <w:rPr>
          <w:rFonts w:ascii="Times New Roman" w:hAnsi="Times New Roman"/>
          <w:szCs w:val="24"/>
        </w:rPr>
        <w:t>.</w:t>
      </w:r>
    </w:p>
    <w:p w:rsidR="008D4F0C" w:rsidRPr="00957BE0" w:rsidRDefault="008D4F0C" w:rsidP="008D4F0C">
      <w:pPr>
        <w:pStyle w:val="BodyText2"/>
        <w:numPr>
          <w:ilvl w:val="12"/>
          <w:numId w:val="0"/>
        </w:numPr>
        <w:jc w:val="both"/>
        <w:rPr>
          <w:rFonts w:ascii="Times New Roman" w:hAnsi="Times New Roman"/>
          <w:szCs w:val="24"/>
        </w:rPr>
      </w:pPr>
    </w:p>
    <w:p w:rsidR="008D4F0C" w:rsidRDefault="008D4F0C" w:rsidP="008D4F0C">
      <w:pPr>
        <w:pStyle w:val="BodyText2"/>
        <w:numPr>
          <w:ilvl w:val="12"/>
          <w:numId w:val="0"/>
        </w:numPr>
        <w:jc w:val="both"/>
        <w:rPr>
          <w:rFonts w:ascii="Times New Roman" w:hAnsi="Times New Roman"/>
          <w:szCs w:val="24"/>
        </w:rPr>
      </w:pPr>
      <w:r>
        <w:rPr>
          <w:rFonts w:ascii="Times New Roman" w:hAnsi="Times New Roman"/>
          <w:szCs w:val="24"/>
        </w:rPr>
        <w:t xml:space="preserve">   </w:t>
      </w:r>
      <w:r w:rsidRPr="002F3C36">
        <w:rPr>
          <w:rFonts w:ascii="Times New Roman" w:hAnsi="Times New Roman"/>
          <w:szCs w:val="24"/>
        </w:rPr>
        <w:t xml:space="preserve"> </w:t>
      </w:r>
      <w:r w:rsidRPr="00366878">
        <w:rPr>
          <w:rFonts w:ascii="Times New Roman" w:hAnsi="Times New Roman"/>
          <w:szCs w:val="24"/>
        </w:rPr>
        <w:t xml:space="preserve"> Όταν λοιπόν υπάρχει επιστημονική αβεβαιότητα, ποιο λάθος είναι προτιμότερο; Το λάθος τύπου Ι ή το λάθος τύπου ΙΙ; Η επικρατούσα τεχνοκρατική επιστημονική ορθολογικότητα επιβάλλει να αποφεύγονται τα λάθη τύπου Ι, πράγμα που σημαίνει ότι το τεκμήριο της αμφιβολίας οδηγεί στο συμπέρασμα ότι δεν υπάρχουν αρνητικές επιπτώσεις</w:t>
      </w:r>
      <w:r w:rsidRPr="00366878">
        <w:rPr>
          <w:rStyle w:val="FootnoteReference"/>
          <w:szCs w:val="24"/>
        </w:rPr>
        <w:footnoteReference w:id="121"/>
      </w:r>
      <w:r>
        <w:rPr>
          <w:rFonts w:ascii="Times New Roman" w:hAnsi="Times New Roman"/>
          <w:szCs w:val="24"/>
        </w:rPr>
        <w:t>. Προτιμάται</w:t>
      </w:r>
      <w:r w:rsidRPr="00366878">
        <w:rPr>
          <w:rFonts w:ascii="Times New Roman" w:hAnsi="Times New Roman"/>
          <w:szCs w:val="24"/>
        </w:rPr>
        <w:t xml:space="preserve"> δηλαδή </w:t>
      </w:r>
      <w:r>
        <w:rPr>
          <w:rFonts w:ascii="Times New Roman" w:hAnsi="Times New Roman"/>
          <w:szCs w:val="24"/>
        </w:rPr>
        <w:t>ο</w:t>
      </w:r>
      <w:r w:rsidRPr="00366878">
        <w:rPr>
          <w:rFonts w:ascii="Times New Roman" w:hAnsi="Times New Roman"/>
          <w:szCs w:val="24"/>
        </w:rPr>
        <w:t xml:space="preserve">  κίνδυνο</w:t>
      </w:r>
      <w:r>
        <w:rPr>
          <w:rFonts w:ascii="Times New Roman" w:hAnsi="Times New Roman"/>
          <w:szCs w:val="24"/>
        </w:rPr>
        <w:t>ς που απορρέει από τη</w:t>
      </w:r>
      <w:r w:rsidRPr="00366878">
        <w:rPr>
          <w:rFonts w:ascii="Times New Roman" w:hAnsi="Times New Roman"/>
          <w:szCs w:val="24"/>
        </w:rPr>
        <w:t xml:space="preserve"> μη απόρριψη μιας βλαπτικής δραστηριότητας, από τον κίνδυνο της απόρριψης μιας αβλαβούς δραστηριότητας</w:t>
      </w:r>
      <w:r w:rsidRPr="00366878">
        <w:rPr>
          <w:rStyle w:val="FootnoteReference"/>
          <w:szCs w:val="24"/>
        </w:rPr>
        <w:footnoteReference w:id="122"/>
      </w:r>
      <w:r w:rsidRPr="00366878">
        <w:rPr>
          <w:rFonts w:ascii="Times New Roman" w:hAnsi="Times New Roman"/>
          <w:szCs w:val="24"/>
        </w:rPr>
        <w:t>. Αντίθετα, η προφυλακτική αντίληψη  επιβάλλει να περιορίζονται τα λάθη τύπου ΙΙ ή, να το διατυπώσουμε διαφορετικά, προτιμά τα λάθη τύπου Ι. Προτιμάται δηλαδή  ο κίνδυνος της απόρριψης μιας αβλαβούς δραστηριότητας  (οικονομική ζημία) παρά ο κίνδυνος της μη απόρριψης μιας βλαπτικής δραστηριότητας</w:t>
      </w:r>
      <w:r w:rsidRPr="00366878">
        <w:rPr>
          <w:rStyle w:val="FootnoteReference"/>
          <w:szCs w:val="24"/>
        </w:rPr>
        <w:footnoteReference w:id="123"/>
      </w:r>
      <w:r w:rsidRPr="00366878">
        <w:rPr>
          <w:rFonts w:ascii="Times New Roman" w:hAnsi="Times New Roman"/>
          <w:szCs w:val="24"/>
        </w:rPr>
        <w:t>. Αυτό συμβαίνει διότι</w:t>
      </w:r>
      <w:r>
        <w:rPr>
          <w:rFonts w:ascii="Times New Roman" w:hAnsi="Times New Roman"/>
          <w:szCs w:val="24"/>
        </w:rPr>
        <w:t>,</w:t>
      </w:r>
      <w:r w:rsidRPr="00366878">
        <w:rPr>
          <w:rFonts w:ascii="Times New Roman" w:hAnsi="Times New Roman"/>
          <w:szCs w:val="24"/>
        </w:rPr>
        <w:t xml:space="preserve"> σε συνθήκες επιστημονικής αβεβαιότητας</w:t>
      </w:r>
      <w:r>
        <w:rPr>
          <w:rFonts w:ascii="Times New Roman" w:hAnsi="Times New Roman"/>
          <w:szCs w:val="24"/>
        </w:rPr>
        <w:t>,</w:t>
      </w:r>
      <w:r w:rsidRPr="00366878">
        <w:rPr>
          <w:rFonts w:ascii="Times New Roman" w:hAnsi="Times New Roman"/>
          <w:szCs w:val="24"/>
        </w:rPr>
        <w:t xml:space="preserve"> η αρχή της προφύλαξης δημιουργεί τεκμήριο υπέρ της προστασίας του περιβάλλοντος ή/και της υγείας του ανθρώπου</w:t>
      </w:r>
      <w:r w:rsidRPr="00366878">
        <w:rPr>
          <w:rStyle w:val="FootnoteReference"/>
          <w:szCs w:val="24"/>
        </w:rPr>
        <w:footnoteReference w:id="124"/>
      </w:r>
      <w:r w:rsidRPr="00366878">
        <w:rPr>
          <w:rFonts w:ascii="Times New Roman" w:hAnsi="Times New Roman"/>
          <w:szCs w:val="24"/>
        </w:rPr>
        <w:t>.</w:t>
      </w:r>
      <w:r>
        <w:rPr>
          <w:rFonts w:ascii="Times New Roman" w:hAnsi="Times New Roman"/>
          <w:szCs w:val="24"/>
        </w:rPr>
        <w:t xml:space="preserve">  Σύμφωνα, λοιπόν, με την παραπάνω προβληματική είναι εύλογος ο ισχυρισμός ότι η αρχή της προφύλαξης εφαρμόζεται τόσο στο στάδιο της αξιολόγησης όσο και σε εκείνο της διαχείρισης του </w:t>
      </w:r>
      <w:r>
        <w:rPr>
          <w:rFonts w:ascii="Times New Roman" w:hAnsi="Times New Roman"/>
          <w:szCs w:val="24"/>
        </w:rPr>
        <w:lastRenderedPageBreak/>
        <w:t>κινδύνου. Πρέπει, όμως, να ληφθεί υπόψη ότι η λειτουργία της είναι διαφορετική στο κάθε στάδιο της ανάλυσης του κινδύνου</w:t>
      </w:r>
      <w:r>
        <w:rPr>
          <w:rStyle w:val="FootnoteReference"/>
          <w:szCs w:val="24"/>
        </w:rPr>
        <w:footnoteReference w:id="125"/>
      </w:r>
      <w:r>
        <w:rPr>
          <w:rFonts w:ascii="Times New Roman" w:hAnsi="Times New Roman"/>
          <w:szCs w:val="24"/>
        </w:rPr>
        <w:t xml:space="preserve">. </w:t>
      </w:r>
    </w:p>
    <w:p w:rsidR="008D4F0C" w:rsidRPr="00366878" w:rsidRDefault="008D4F0C" w:rsidP="008D4F0C">
      <w:pPr>
        <w:pStyle w:val="BodyText2"/>
        <w:numPr>
          <w:ilvl w:val="12"/>
          <w:numId w:val="0"/>
        </w:numPr>
        <w:jc w:val="both"/>
        <w:rPr>
          <w:rFonts w:ascii="Times New Roman" w:hAnsi="Times New Roman"/>
          <w:szCs w:val="24"/>
        </w:rPr>
      </w:pPr>
    </w:p>
    <w:p w:rsidR="008D4F0C" w:rsidRPr="00366878" w:rsidRDefault="008D4F0C" w:rsidP="008D4F0C">
      <w:pPr>
        <w:spacing w:line="360" w:lineRule="auto"/>
        <w:jc w:val="both"/>
        <w:rPr>
          <w:b/>
        </w:rPr>
      </w:pPr>
      <w:r>
        <w:rPr>
          <w:b/>
        </w:rPr>
        <w:t>4</w:t>
      </w:r>
      <w:r w:rsidRPr="00366878">
        <w:rPr>
          <w:b/>
        </w:rPr>
        <w:t>. Η συναρμογή των επιστημονικών εκτιμήσεων και των ‘‘άλλων θεμιτών παραγόντων’’</w:t>
      </w:r>
    </w:p>
    <w:p w:rsidR="008D4F0C" w:rsidRDefault="008D4F0C" w:rsidP="008D4F0C">
      <w:pPr>
        <w:spacing w:line="360" w:lineRule="auto"/>
        <w:jc w:val="both"/>
      </w:pPr>
      <w:r w:rsidRPr="00366878">
        <w:t xml:space="preserve">      Εν όψει, λοιπόν, των παραπάνω ανεπαρκειών ή αδυναμιών της ΑΠΚ είναι απαραίτητο να μην περιορίζεται η αξιολόγηση </w:t>
      </w:r>
      <w:r>
        <w:t xml:space="preserve">μόνο </w:t>
      </w:r>
      <w:r w:rsidRPr="00366878">
        <w:t>στις επιστημονικές εκτιμήσεις για τον κίνδυνο βλάβης αλλά να περιλαμβάνονται σε αυτή και ‘‘άλλοι παράγοντες’’ (κοινωνικές, οικονομικές, ηθικές, πολιτιστικές κλπ παράμετροι)</w:t>
      </w:r>
      <w:r w:rsidRPr="00366878">
        <w:rPr>
          <w:rStyle w:val="FootnoteReference"/>
        </w:rPr>
        <w:footnoteReference w:id="126"/>
      </w:r>
      <w:r w:rsidRPr="00366878">
        <w:t>. Άλλωστε</w:t>
      </w:r>
      <w:r>
        <w:t>,</w:t>
      </w:r>
      <w:r w:rsidRPr="00366878">
        <w:t xml:space="preserve"> σε διάφορους τομείς της κοινοτικής νομοθεσίας προβλέπεται ότι για την έγκριση διάθεσης στην αγορά προϊόντων λαμβάνονται υπόψη και μη επιστημονικοί παράγοντες</w:t>
      </w:r>
      <w:r w:rsidRPr="00366878">
        <w:rPr>
          <w:rStyle w:val="FootnoteReference"/>
        </w:rPr>
        <w:footnoteReference w:id="127"/>
      </w:r>
      <w:r w:rsidRPr="00366878">
        <w:t xml:space="preserve">. </w:t>
      </w:r>
    </w:p>
    <w:p w:rsidR="008D4F0C" w:rsidRPr="00366878" w:rsidRDefault="008D4F0C" w:rsidP="008D4F0C">
      <w:pPr>
        <w:spacing w:line="360" w:lineRule="auto"/>
        <w:jc w:val="both"/>
      </w:pPr>
    </w:p>
    <w:p w:rsidR="008D4F0C" w:rsidRPr="007A7370" w:rsidRDefault="008D4F0C" w:rsidP="008D4F0C">
      <w:pPr>
        <w:spacing w:line="360" w:lineRule="auto"/>
        <w:jc w:val="both"/>
      </w:pPr>
      <w:r w:rsidRPr="00366878">
        <w:t xml:space="preserve">      </w:t>
      </w:r>
      <w:r>
        <w:t xml:space="preserve">Σύμφωνα με τη συζήτηση που προηγήθηκε, </w:t>
      </w:r>
      <w:r w:rsidRPr="00366878">
        <w:t xml:space="preserve"> υπάρχει ανάγκη για μια διαφορετική προσέγγιση της αξιολόγησης του κινδύνου, η οποία έχει ως αφετηρία την παραδοχή ότι η επιστημονική γνώση για την εκτίμηση της βλάβης στο περιβάλλον και στην υγεία του ανθρώπου δεν είναι σε θέση να παράσχει από μόνη της οριστικές και αδιαμφισβήτητες απαντήσεις ή</w:t>
      </w:r>
      <w:r>
        <w:t xml:space="preserve"> εν πάση περιπτώσει</w:t>
      </w:r>
      <w:r w:rsidRPr="00366878">
        <w:t xml:space="preserve"> δεν </w:t>
      </w:r>
      <w:r>
        <w:t>είναι αρκετή</w:t>
      </w:r>
      <w:r w:rsidRPr="00366878">
        <w:rPr>
          <w:rStyle w:val="FootnoteReference"/>
        </w:rPr>
        <w:footnoteReference w:id="128"/>
      </w:r>
      <w:r w:rsidRPr="00366878">
        <w:t xml:space="preserve">. Δεδομένης της αβεβαιότητας ή και της άγνοιας σχετικά με τους κινδύνους για το περιβάλλον ή/και την υγεία του ανθρώπου και ειδικότερα </w:t>
      </w:r>
      <w:r>
        <w:t>σχετικά με</w:t>
      </w:r>
      <w:r w:rsidRPr="00366878">
        <w:t xml:space="preserve"> το εύρος και τις πιθανότητες επέλευσής τους, είναι φυσικό να απομειώνεται ο ρόλος της επιστήμης τόσο σε ό,τι </w:t>
      </w:r>
      <w:r w:rsidRPr="00366878">
        <w:lastRenderedPageBreak/>
        <w:t>αφορά στον καθορισμό όσο και στην αξιολόγησή τους</w:t>
      </w:r>
      <w:r w:rsidRPr="00366878">
        <w:rPr>
          <w:rStyle w:val="FootnoteReference"/>
        </w:rPr>
        <w:footnoteReference w:id="129"/>
      </w:r>
      <w:r w:rsidRPr="00366878">
        <w:t>. Επί πλέον, η ως άνω απομείωση έχει να κάνει με την παραδοχή ότι η αντίληψη περί αξιακά</w:t>
      </w:r>
      <w:r>
        <w:t xml:space="preserve"> ουδέτερης επιστήμης δεν ανταποκρίνεται στα πράγματα. Όπως αναφέρει σχετικά ο </w:t>
      </w:r>
      <w:r>
        <w:rPr>
          <w:lang w:val="en-US"/>
        </w:rPr>
        <w:t>FAO</w:t>
      </w:r>
      <w:r>
        <w:t>:</w:t>
      </w:r>
    </w:p>
    <w:p w:rsidR="008D4F0C" w:rsidRPr="008516AB" w:rsidRDefault="008D4F0C" w:rsidP="008D4F0C">
      <w:pPr>
        <w:tabs>
          <w:tab w:val="left" w:pos="567"/>
          <w:tab w:val="left" w:pos="8222"/>
        </w:tabs>
        <w:spacing w:line="360" w:lineRule="auto"/>
        <w:ind w:right="-58"/>
        <w:jc w:val="both"/>
      </w:pPr>
      <w:r>
        <w:rPr>
          <w:i/>
        </w:rPr>
        <w:t xml:space="preserve">      </w:t>
      </w:r>
      <w:r>
        <w:t>«</w:t>
      </w:r>
      <w:r w:rsidRPr="008516AB">
        <w:t xml:space="preserve">Ο </w:t>
      </w:r>
      <w:r w:rsidRPr="008516AB">
        <w:rPr>
          <w:lang w:val="en-US"/>
        </w:rPr>
        <w:t>Codex</w:t>
      </w:r>
      <w:r>
        <w:t xml:space="preserve"> </w:t>
      </w:r>
      <w:r w:rsidRPr="008516AB">
        <w:rPr>
          <w:lang w:val="en-US"/>
        </w:rPr>
        <w:t>Alimentarius</w:t>
      </w:r>
      <w:r w:rsidRPr="008516AB">
        <w:t xml:space="preserve"> δίνει έμφαση στο γεγονός ότι η ανάλυση του κινδύνου θα πρέπει να στηρίζεται στην εκτίμηση του κινδύνου νοούμενη ως επιστημονικό εγχείρημα. Εφόσον οι σχέσεις μεταξύ επιστήμης και ηθικής αποτελούν κρίσιμο στοιχείο της ανάλυσης του κινδύνου υπάρχει ανάγκη να αποσαφηνιστεί τι εννοείται με τη λέξη ‘‘επιστημονικό’’. Εάν σημαίνει αυστηρά λογικό, αμερόληπτο και απροσωπόληπτο εγχείρημα τότε αυτό αποτελεί μια ορθή περιγραφή του στόχου που πρέπει να έχει μια επιστημονική εκτίμηση του κινδύνου. Εάν επιστημονικό σημαίνει ‘‘αξιακά ουδέτερος’’ λόγος που παρέχει τη μοναδική ‘‘ορθή’’ απάντηση σχετικά με την ταυτοποίηση, την αξιολόγηση και τη διαχείριση των κινδύνων τότε αυτό είναι πλήρως λανθασμένο. Στην ανάλυση του κινδύνου υπάρχουν εγγενώς μερικές –κατά βάση αναμφισβήτητες- αξιακές κρίσεις που χρήζουν περαιτέρω ανάλυσης</w:t>
      </w:r>
      <w:r>
        <w:t>»</w:t>
      </w:r>
      <w:r w:rsidRPr="008516AB">
        <w:rPr>
          <w:rStyle w:val="FootnoteReference"/>
        </w:rPr>
        <w:footnoteReference w:id="130"/>
      </w:r>
      <w:r w:rsidRPr="008516AB">
        <w:t>.</w:t>
      </w:r>
    </w:p>
    <w:p w:rsidR="008D4F0C" w:rsidRDefault="008D4F0C" w:rsidP="008D4F0C">
      <w:pPr>
        <w:tabs>
          <w:tab w:val="left" w:pos="567"/>
          <w:tab w:val="left" w:pos="8222"/>
        </w:tabs>
        <w:spacing w:line="360" w:lineRule="auto"/>
        <w:ind w:right="-58"/>
        <w:jc w:val="both"/>
      </w:pPr>
    </w:p>
    <w:p w:rsidR="008D4F0C" w:rsidRDefault="008D4F0C" w:rsidP="008D4F0C">
      <w:pPr>
        <w:spacing w:line="360" w:lineRule="auto"/>
        <w:jc w:val="both"/>
        <w:rPr>
          <w:i/>
        </w:rPr>
      </w:pPr>
      <w:r w:rsidRPr="00BB0DBD">
        <w:t xml:space="preserve"> </w:t>
      </w:r>
      <w:r>
        <w:t xml:space="preserve">     Θα πρέπει να υπογραμμιστεί ότι δεν είναι μόνο η επιστημονική γνώση που περιλαμβάνει ή ενσωματώνει και</w:t>
      </w:r>
      <w:r w:rsidRPr="00D360C2">
        <w:t xml:space="preserve"> αξιακές παραμέτρους (ηθικές, αισθητικές, πολιτιστικές, κοινωνικές κλπ)</w:t>
      </w:r>
      <w:r>
        <w:t>.</w:t>
      </w:r>
      <w:r w:rsidRPr="00D360C2">
        <w:t xml:space="preserve"> </w:t>
      </w:r>
      <w:r>
        <w:t>Οι τελευταίες</w:t>
      </w:r>
      <w:r w:rsidRPr="00D360C2">
        <w:t xml:space="preserve"> αποτελούν</w:t>
      </w:r>
      <w:r>
        <w:t>, επίσης,</w:t>
      </w:r>
      <w:r w:rsidRPr="00D360C2">
        <w:t xml:space="preserve"> το θεμελιώδες χαρακτηριστικό της πρόσληψης των κινδύνων από το κοινό</w:t>
      </w:r>
      <w:r w:rsidRPr="00D360C2">
        <w:rPr>
          <w:rStyle w:val="FootnoteReference"/>
        </w:rPr>
        <w:footnoteReference w:id="131"/>
      </w:r>
      <w:r w:rsidRPr="00D360C2">
        <w:t>. Έτσι, το τελευταίο τους προσδίδει μια ευρύτερη διάσταση από εκείνη των ειδικών και αυτό έχει σαν αποτέλεσμα</w:t>
      </w:r>
      <w:r>
        <w:t xml:space="preserve"> </w:t>
      </w:r>
      <w:r w:rsidRPr="00D360C2">
        <w:t xml:space="preserve">να είναι </w:t>
      </w:r>
      <w:r>
        <w:t>απαραίτητες</w:t>
      </w:r>
      <w:r w:rsidRPr="00D360C2">
        <w:t xml:space="preserve">, για την αξιολόγηση των </w:t>
      </w:r>
      <w:r>
        <w:t>ως άνω</w:t>
      </w:r>
      <w:r w:rsidRPr="00D360C2">
        <w:t xml:space="preserve"> κινδύνω</w:t>
      </w:r>
      <w:r>
        <w:t>ν και για την αντιμετώπισή τους,</w:t>
      </w:r>
      <w:r w:rsidRPr="002E4CBE">
        <w:t xml:space="preserve"> </w:t>
      </w:r>
      <w:r w:rsidRPr="00D360C2">
        <w:t xml:space="preserve">τόσο η </w:t>
      </w:r>
      <w:r>
        <w:t>αναγνωρισμένη θεσμικά</w:t>
      </w:r>
      <w:r w:rsidRPr="00D360C2">
        <w:t xml:space="preserve"> επιστήμη όσο και η πρακτική λαϊκή γνώση</w:t>
      </w:r>
      <w:r w:rsidRPr="00D360C2">
        <w:rPr>
          <w:rStyle w:val="FootnoteReference"/>
        </w:rPr>
        <w:footnoteReference w:id="132"/>
      </w:r>
      <w:r w:rsidRPr="00D360C2">
        <w:t>.</w:t>
      </w:r>
      <w:r>
        <w:t xml:space="preserve"> Όπως χαρακτηριστικά επισημαίνεται από τον </w:t>
      </w:r>
      <w:r>
        <w:rPr>
          <w:lang w:val="en-US"/>
        </w:rPr>
        <w:t>FAO</w:t>
      </w:r>
      <w:r>
        <w:t xml:space="preserve">, </w:t>
      </w:r>
      <w:r w:rsidRPr="008516AB">
        <w:t>«οι άνθρωποι ακόμη και όταν εκτίθενται σε ένα μικρό κίνδυνο αλλά από την έκθεση αυτή δεν προσδοκούν κανένα όφελος προκρίνουν μια σχετικά διευρυμένη ερμηνεία των κινδύνων»</w:t>
      </w:r>
      <w:r w:rsidRPr="008516AB">
        <w:rPr>
          <w:rStyle w:val="FootnoteReference"/>
        </w:rPr>
        <w:footnoteReference w:id="133"/>
      </w:r>
      <w:r w:rsidRPr="008516AB">
        <w:t>.</w:t>
      </w:r>
      <w:r>
        <w:t xml:space="preserve"> Περαιτέρω, η ένταξη της εμπειρικής και λαϊκής γνώσης στη διαδικασία </w:t>
      </w:r>
      <w:r>
        <w:lastRenderedPageBreak/>
        <w:t>της ανάλυσης του κινδύνου είναι αναγκαία και για το λόγο ότι αντανακλά τη μεταβλητότητα που υπάρχει στις κοινωνικές και πολιτιστικές αξίες, στις προτιμήσεις και στις κοσμοαντιλήψεις. Επί πλέον, δείχνει ότι η αυστηρή διάκριση μεταξύ της αξιολόγησης και της διαχείρισης του κινδύνου είναι αντιπαραγωγική</w:t>
      </w:r>
      <w:r>
        <w:rPr>
          <w:rStyle w:val="FootnoteReference"/>
        </w:rPr>
        <w:footnoteReference w:id="134"/>
      </w:r>
      <w:r>
        <w:t>.</w:t>
      </w:r>
    </w:p>
    <w:p w:rsidR="008D4F0C" w:rsidRDefault="008D4F0C" w:rsidP="008D4F0C">
      <w:pPr>
        <w:spacing w:line="360" w:lineRule="auto"/>
        <w:jc w:val="both"/>
        <w:rPr>
          <w:i/>
        </w:rPr>
      </w:pPr>
      <w:r>
        <w:rPr>
          <w:i/>
        </w:rPr>
        <w:t xml:space="preserve"> </w:t>
      </w:r>
    </w:p>
    <w:p w:rsidR="008D4F0C" w:rsidRDefault="008D4F0C" w:rsidP="008D4F0C">
      <w:pPr>
        <w:spacing w:line="360" w:lineRule="auto"/>
        <w:jc w:val="both"/>
      </w:pPr>
      <w:r>
        <w:rPr>
          <w:i/>
        </w:rPr>
        <w:t xml:space="preserve">     </w:t>
      </w:r>
      <w:r>
        <w:t>Ειδικότερα, η ευρύτερη διάσταση της πρόσληψης του κοινού για  τους ΓΤΟ αποτυπώνεται σε σχετική έκθεση που υποβλήθηκε προς την Ευρωπαϊκή Επιτροπή</w:t>
      </w:r>
      <w:r>
        <w:rPr>
          <w:rStyle w:val="FootnoteReference"/>
        </w:rPr>
        <w:footnoteReference w:id="135"/>
      </w:r>
      <w:r>
        <w:t>. Εκεί τονίζεται ότι η διαφορετική, σε σχέση με τους ειδικούς, στάση των πολιτών έναντι των ΓΤΟ δεν είναι απόρροια λανθασμένων εκτιμήσεων αλλά αποτέλεσμα εκτιμήσεων που στηρίζονται σε διαφορετικές παραμέτρους</w:t>
      </w:r>
      <w:r>
        <w:rPr>
          <w:rStyle w:val="FootnoteReference"/>
        </w:rPr>
        <w:footnoteReference w:id="136"/>
      </w:r>
      <w:r>
        <w:t>. Με άλλες λέξεις, η πρόσληψη του κινδύνου από το κοινό δεν είναι μια ανορθολογική διαδικασία που βρίσκεται στον αντίποδα της επιστημονικής και ορθολογικής αξιολόγησης του κινδύνου. Αντιθέτως, η ως άνω πρόσληψη του κινδύνου ‘‘έδωσε τη δυνατότητα σε ανθρώπινες υπάρξεις να επιβιώσουν κατά τη μακρά περίοδο της εξέλιξής τους και παραμένει σήμερα ο πιο φυσικός και ο πιο κοινός τρόπος αντιμετώπισης του κινδύνου’’</w:t>
      </w:r>
      <w:r>
        <w:rPr>
          <w:rStyle w:val="FootnoteReference"/>
        </w:rPr>
        <w:footnoteReference w:id="137"/>
      </w:r>
      <w:r>
        <w:t>.</w:t>
      </w:r>
    </w:p>
    <w:p w:rsidR="008D4F0C" w:rsidRDefault="008D4F0C" w:rsidP="008D4F0C">
      <w:pPr>
        <w:spacing w:line="360" w:lineRule="auto"/>
        <w:jc w:val="both"/>
      </w:pPr>
    </w:p>
    <w:p w:rsidR="008D4F0C" w:rsidRDefault="008D4F0C" w:rsidP="008D4F0C">
      <w:pPr>
        <w:spacing w:line="360" w:lineRule="auto"/>
        <w:jc w:val="both"/>
      </w:pPr>
      <w:r>
        <w:t xml:space="preserve">     Έτσι, μερικά από τα ερωτήματα που θέτουν οι πολίτες είναι: Γιατί χρειαζόμαστε τους ΓΤΟ; Ποιος προσπορίζεται τα οφέλη από τη χρήση τους; Ποιος αποφάσισε την ανάπτυξή τους; Οι κίνδυνοι έχουν αξιολογηθεί επαρκώς; Ποιος ευθύνεται για τις πιθανές ζημίες στην υγεία και στο περιβάλλον; Ο περιορισμός της επιστημονικής γνώσης στο πεδίο των ΓΤΟ  και συγκεκριμένα η αβεβαιότητα ή η άγνοια που επικρατούν ελήφθησαν υπόψη από τα αρμόδια όργανα;</w:t>
      </w:r>
      <w:r>
        <w:rPr>
          <w:rStyle w:val="FootnoteReference"/>
        </w:rPr>
        <w:footnoteReference w:id="138"/>
      </w:r>
      <w:r>
        <w:t xml:space="preserve">  Διαπιστώνουμε λοιπόν ότι τα ερωτήματα που θέτουν οι πολίτες σχετικά με το χαρακτήρα των ΓΤΟ –όπως άλλωστε συμβαίνει με όλες τις τεχνολογικές αλλαγές- είναι πιο διευρυμένα από αυτά των ειδικών. Αυτό σημαίνει, βεβαίως, ότι χρειάζεται μια νέα επιστημολογική και </w:t>
      </w:r>
      <w:r>
        <w:lastRenderedPageBreak/>
        <w:t>πολιτική κατανόηση του όλου ζητήματος και όχι απλώς μια διοικητική διευθέτηση</w:t>
      </w:r>
      <w:r>
        <w:rPr>
          <w:rStyle w:val="FootnoteReference"/>
        </w:rPr>
        <w:footnoteReference w:id="139"/>
      </w:r>
      <w:r>
        <w:t>. Με άλλες λέξεις, προβάλλει η ανάγκη ενός νέου παραδείγματος.</w:t>
      </w:r>
    </w:p>
    <w:p w:rsidR="008D4F0C" w:rsidRPr="00F06645" w:rsidRDefault="008D4F0C" w:rsidP="008D4F0C">
      <w:pPr>
        <w:spacing w:line="360" w:lineRule="auto"/>
        <w:jc w:val="both"/>
      </w:pPr>
    </w:p>
    <w:p w:rsidR="008D4F0C" w:rsidRDefault="008D4F0C" w:rsidP="008D4F0C">
      <w:pPr>
        <w:spacing w:line="360" w:lineRule="auto"/>
        <w:jc w:val="both"/>
      </w:pPr>
      <w:r>
        <w:rPr>
          <w:i/>
        </w:rPr>
        <w:t xml:space="preserve">      </w:t>
      </w:r>
      <w:r>
        <w:t>Περαιτέρω, οι διαπιστώσεις αναφορικά με το ρόλο της επιστήμης στην αξιολόγηση του κινδύνου σχετίζονται επίσης</w:t>
      </w:r>
      <w:r>
        <w:rPr>
          <w:i/>
        </w:rPr>
        <w:t xml:space="preserve"> </w:t>
      </w:r>
      <w:r>
        <w:t>και με αυτό που οι κοινωνικοί επιστήμονες ονομάζουν ‘‘πλαισίωση’’ (</w:t>
      </w:r>
      <w:r w:rsidRPr="0081792E">
        <w:t>“</w:t>
      </w:r>
      <w:r>
        <w:rPr>
          <w:lang w:val="en-US"/>
        </w:rPr>
        <w:t>framing</w:t>
      </w:r>
      <w:r w:rsidRPr="0081792E">
        <w:t>’’).</w:t>
      </w:r>
      <w:r>
        <w:t xml:space="preserve"> Ο όρος υποδηλώνει τον επικαθορισμό της διαδικασίας μέσω της οποίας εκφέρονται αξιακές κρίσεις και παραδοχές που επηρεάζουν το αποτέλεσμα της εκτίμησης του κινδύνου</w:t>
      </w:r>
      <w:r>
        <w:rPr>
          <w:rStyle w:val="FootnoteReference"/>
        </w:rPr>
        <w:footnoteReference w:id="140"/>
      </w:r>
      <w:r>
        <w:t>. Συγκεκριμένα, κατά τη διαδικασία αξιολόγησης του κινδύνου παρουσιάζονται κενά στη γνώση και συνεπώς δημιουργείται επιστημονική αβεβαιότητα. Ο τρόπος διαχείρισης της ως άνω αβεβαιότητας, δηλαδή η κάλυψη των γνωστικών κενών επηρεάζεται από αξιακές παραδοχές. Έτσι, η επιλογή να περιοριστεί η αξιολόγηση στις πιθανότητες προσβολής της ανθρώπινης ζωής, υποδηλώνει –άρρητα βεβαίως- ότι τα άλλα έμβια όντα δεν έχουν αξία ή ότι δεν θεωρείται ως αξία η προστασία της υγείας του ανθρώπου από μη μοιραίες προσβολές</w:t>
      </w:r>
      <w:r>
        <w:rPr>
          <w:rStyle w:val="FootnoteReference"/>
        </w:rPr>
        <w:footnoteReference w:id="141"/>
      </w:r>
      <w:r>
        <w:t>. Επίσης, οι επιλογές,</w:t>
      </w:r>
      <w:r w:rsidRPr="00001E19">
        <w:t xml:space="preserve"> </w:t>
      </w:r>
      <w:r>
        <w:t>από τους αξιολογητές του κινδύνου, των μεθόδων και των δεδομένων που θα χρησιμοποιηθούν είναι αποτέλεσμα αξιακών παραδοχών. Έτσι, 1) οι ταυτοποιήσεις των πηγών κινδύνου μπορούν να περιορίζονται στη θνησιμότητα ή στη νοσηρότητα ή σε άλλες λιγότερο γνωστές παραμέτρους</w:t>
      </w:r>
      <w:r>
        <w:rPr>
          <w:rStyle w:val="FootnoteReference"/>
        </w:rPr>
        <w:footnoteReference w:id="142"/>
      </w:r>
      <w:r>
        <w:t>. 2) Διαφορετικά μοντέλα πρόβλεψης μπορούν να υιοθετηθούν όταν επιχειρείται μετάβαση από τις μελέτες τοξικότητας σε ζώα σε αντίστοιχες μελέτες σε ανθρώπους ή από μικρο-οικοσυστήματα σε ανοιχτά αγροτικά περιβάλλοντα</w:t>
      </w:r>
      <w:r>
        <w:rPr>
          <w:rStyle w:val="FootnoteReference"/>
        </w:rPr>
        <w:footnoteReference w:id="143"/>
      </w:r>
      <w:r>
        <w:t>. 3) Οι πληθυσμοί στους οποίους διεξάγονται οι εκτιμήσεις έκθεσης επιλέγονται με διάφορους τρόπους</w:t>
      </w:r>
      <w:r>
        <w:rPr>
          <w:rStyle w:val="FootnoteReference"/>
        </w:rPr>
        <w:footnoteReference w:id="144"/>
      </w:r>
      <w:r>
        <w:t xml:space="preserve"> και 4) Το επίπεδο και ο τύπος των κατάλληλων προληπτικών μέτρων σε μια δεδομένη κατάσταση κατά τη φάση της διαχείρισης του κινδύνου ποικίλουν</w:t>
      </w:r>
      <w:r>
        <w:rPr>
          <w:rStyle w:val="FootnoteReference"/>
        </w:rPr>
        <w:footnoteReference w:id="145"/>
      </w:r>
      <w:r>
        <w:t xml:space="preserve">. </w:t>
      </w:r>
    </w:p>
    <w:p w:rsidR="008D4F0C" w:rsidRDefault="008D4F0C" w:rsidP="008D4F0C">
      <w:pPr>
        <w:spacing w:line="360" w:lineRule="auto"/>
        <w:jc w:val="both"/>
      </w:pPr>
      <w:r>
        <w:t xml:space="preserve"> </w:t>
      </w:r>
    </w:p>
    <w:p w:rsidR="008D4F0C" w:rsidRDefault="008D4F0C" w:rsidP="008D4F0C">
      <w:pPr>
        <w:spacing w:line="360" w:lineRule="auto"/>
        <w:jc w:val="both"/>
      </w:pPr>
      <w:r>
        <w:t xml:space="preserve">     Το γεγονός ότι οι παραπάνω αξιακές παραδοχές επιδρούν στο αποτέλεσμα της αξιολόγησης δείχνει ότι πρέπει να αναγνωρίσουμε το ρόλο που τους ανήκει. Γι’ </w:t>
      </w:r>
      <w:r>
        <w:lastRenderedPageBreak/>
        <w:t>αυτόν ακριβώς το λόγο η ανάδειξή τους συμβάλλει καθοριστικά στην έγκυρη και ρεαλιστική, σε τελευταία ανάλυση, αντιμετώπιση των κινδύνων. Προς αυτή την κατεύθυνση βρίσκονται τα συμπεράσματα του Συμβουλίου Υπουργών της Ε.Ε. (5-12-2008). Εκεί επισημαίνεται ότι υπό το καθεστώς του Κανονισμού 1829/2003/ΕΚ είναι δυνατόν άλλοι ‘‘θεμιτοί παράγοντες’’ που σχετίζονται με τους ΓΤΟ να λαμβάνονται υπόψη για την παροχή έγκρισης</w:t>
      </w:r>
      <w:r>
        <w:rPr>
          <w:rStyle w:val="FootnoteReference"/>
        </w:rPr>
        <w:footnoteReference w:id="146"/>
      </w:r>
      <w:r>
        <w:t>. Επί πλέον, το Συμβούλιο υπογραμμίζει ότι υπό το καθεστώς της οδηγίας 2001/18/ΕΚ η Επιτροπή πρέπει να αξιολογεί και τις κοινωνικοοικονομικές επιπτώσεις</w:t>
      </w:r>
      <w:r>
        <w:rPr>
          <w:rStyle w:val="FootnoteReference"/>
        </w:rPr>
        <w:footnoteReference w:id="147"/>
      </w:r>
      <w:r>
        <w:t>. Περαιτέρω, υπογραμμίζεται ότι  για περιοχές της Ε.Ε. με ειδικά περιβαλλοντικά χαρακτηριστικά, συμπεριλαμβανομένων μικρών απομονωμένων νησιών, τα κράτη μέλη θα μπορούν να προβαίνουν σε περιορισμούς ακόμη και σε απαγορεύσεις ΓΤΚ</w:t>
      </w:r>
      <w:r>
        <w:rPr>
          <w:rStyle w:val="FootnoteReference"/>
        </w:rPr>
        <w:footnoteReference w:id="148"/>
      </w:r>
      <w:r>
        <w:t>. Οι αναφορές στα συμπεράσματα του Συμβουλίου δείχνουν ότι δεν αρκεί μόνο η στενά επιστημονική αξιολόγηση του κινδύνου και, συνεπώς, παραχωρείται ευρεία διακριτική ευχέρεια στα αρμόδια κοινοτικά ή εθνικά όργανα αφενός μεν να λαμβάνουν υπόψη τους και άλλες παραμέτρους πέραν των επιστημονικών αφετέρου δε να περιορίζουν ή ακόμη και να απαγορεύουν ΓΤΚ εφόσον, βεβαίως, υπάρχουν οι προϋποθέσεις.</w:t>
      </w:r>
    </w:p>
    <w:p w:rsidR="008D4F0C" w:rsidRDefault="008D4F0C" w:rsidP="008D4F0C">
      <w:pPr>
        <w:spacing w:line="360" w:lineRule="auto"/>
        <w:jc w:val="both"/>
      </w:pPr>
    </w:p>
    <w:p w:rsidR="008D4F0C" w:rsidRPr="002F420A" w:rsidRDefault="008D4F0C" w:rsidP="008D4F0C">
      <w:pPr>
        <w:spacing w:line="360" w:lineRule="auto"/>
        <w:jc w:val="both"/>
      </w:pPr>
      <w:r>
        <w:t xml:space="preserve">     Τέλος, η αξιολόγηση των κοινωνικοοικονομικών επιπτώσεων που συνδέονται με τους ΓΤΟ θα μπορούσε να αποτελέσει επί μέρους αντικείμενο της γενικότερης αξιολόγησης του κινδύνου και όχι καθήκον των αρμόδιων πολιτικών αρχών στο ύστερο στάδιο της διαχείρισης του κινδύνου. Αυτή η προσέγγιση δεν είναι ξένη προς το δίκαιο της Ε.Ε. καθόσον υπάρχει ανάλογη ρύθμιση στη νομοθεσία σχετικά με τα </w:t>
      </w:r>
      <w:r>
        <w:lastRenderedPageBreak/>
        <w:t xml:space="preserve">χημικά και ειδικότερα στον Κανονισμό </w:t>
      </w:r>
      <w:r>
        <w:rPr>
          <w:lang w:val="en-US"/>
        </w:rPr>
        <w:t>REACH</w:t>
      </w:r>
      <w:r>
        <w:rPr>
          <w:rStyle w:val="FootnoteReference"/>
          <w:lang w:val="en-US"/>
        </w:rPr>
        <w:footnoteReference w:id="149"/>
      </w:r>
      <w:r w:rsidRPr="0059742A">
        <w:t>.</w:t>
      </w:r>
      <w:r w:rsidRPr="002F420A">
        <w:t xml:space="preserve"> </w:t>
      </w:r>
      <w:r>
        <w:t>Συγκεκριμένα, προβλέπεται ότι στα πλαίσια του Ευρωπαϊκού Οργανισμού Χημικών Προϊόντων</w:t>
      </w:r>
      <w:r>
        <w:rPr>
          <w:rStyle w:val="FootnoteReference"/>
        </w:rPr>
        <w:footnoteReference w:id="150"/>
      </w:r>
      <w:r>
        <w:t xml:space="preserve"> ιδρύεται επιτροπή κοινωνικοοικονομικής ανάλυσης που σκοπό έχει την εκπόνηση έκθεσης σχετικά με τις κοινωνικοοικονομικές επιπτώσεις οι οποίες συνδέονται με την έγκριση ή τους περιορισμούς μιας χημικής ουσίας</w:t>
      </w:r>
      <w:r>
        <w:rPr>
          <w:rStyle w:val="FootnoteReference"/>
        </w:rPr>
        <w:footnoteReference w:id="151"/>
      </w:r>
      <w:r>
        <w:t>.</w:t>
      </w:r>
    </w:p>
    <w:p w:rsidR="008D4F0C" w:rsidRDefault="008D4F0C" w:rsidP="008D4F0C">
      <w:pPr>
        <w:spacing w:line="360" w:lineRule="auto"/>
        <w:jc w:val="both"/>
      </w:pPr>
    </w:p>
    <w:p w:rsidR="008D4F0C" w:rsidRPr="001957E7" w:rsidRDefault="008D4F0C" w:rsidP="008D4F0C">
      <w:pPr>
        <w:spacing w:line="360" w:lineRule="auto"/>
        <w:jc w:val="both"/>
        <w:rPr>
          <w:b/>
        </w:rPr>
      </w:pPr>
      <w:r>
        <w:rPr>
          <w:b/>
        </w:rPr>
        <w:t>5. Η συμμετοχή του κοινού ως παράγοντας αξιοπιστίας της ΑΠΚ</w:t>
      </w:r>
    </w:p>
    <w:p w:rsidR="008D4F0C" w:rsidRDefault="008D4F0C" w:rsidP="008D4F0C">
      <w:pPr>
        <w:spacing w:line="360" w:lineRule="auto"/>
        <w:jc w:val="both"/>
      </w:pPr>
      <w:r>
        <w:t xml:space="preserve">       </w:t>
      </w:r>
      <w:r w:rsidRPr="00B73195">
        <w:t xml:space="preserve"> </w:t>
      </w:r>
      <w:r>
        <w:t>Η θεμελιώδης βάση της φιλελεύθερης θεωρίας περί της αντιπροσωπευτικής κυβέρνησης συνίσταται στο ότι οι πολιτικοί εκπρόσωποι έχουν τη νομιμοποίηση να λαμβάνουν αποφάσεις που υπηρετούν το γενικό συμφέρον και τις δημόσιες αξίες</w:t>
      </w:r>
      <w:r>
        <w:rPr>
          <w:rStyle w:val="FootnoteReference"/>
        </w:rPr>
        <w:footnoteReference w:id="152"/>
      </w:r>
      <w:r>
        <w:t>. Σε ό,τι αφορά όμως στις νέες τεχνολογίες, η παραπάνω εκπροσώπηση δεν είναι η κατάλληλη. Αυτό έχει να κάνει με διάφορους παράγοντες οι οποίοι επηρεάζουν τη νομοθέτηση ή τη λήψη των αποφάσεων σχετικά με τους τεχνολογικούς κινδύνους. Τέτοιοι παράγοντες είναι: α) οι ασκούμενες πιέσεις στους πολιτικούς για ικανοποίηση των τρεχουσών αναγκών που εντάσσονται στους εκλογικούς κύκλους, παρά η μέριμνα για μακροπρόθεσμα ζητήματα όπως αυτά της προστασίας του περιβάλλοντος και της υγείας του ανθρώπου. β) Η εντελώς εξειδικευμένη γνώση που είναι απαραίτητη για την κατανόηση σημαντικών επιστημονικών ζητημάτων την οποία κατανοεί ελάχιστα ή καθόλου ο νομοθέτης και γ) η μεγάλη αβεβαιότητα ή ακόμη η άγνοια (δεν γνωρίζουμε τι δεν γνωρίζουμε) σχετικά με τους περιβαλλοντικούς κινδύνους που οδηγούν περισσότερο στην απραξία παρά στη λήψη προφυλακτικών μέτρων</w:t>
      </w:r>
      <w:r>
        <w:rPr>
          <w:rStyle w:val="FootnoteReference"/>
        </w:rPr>
        <w:footnoteReference w:id="153"/>
      </w:r>
      <w:r>
        <w:t xml:space="preserve">. </w:t>
      </w:r>
    </w:p>
    <w:p w:rsidR="008D4F0C" w:rsidRDefault="008D4F0C" w:rsidP="008D4F0C">
      <w:pPr>
        <w:spacing w:line="360" w:lineRule="auto"/>
        <w:jc w:val="both"/>
      </w:pPr>
    </w:p>
    <w:p w:rsidR="008D4F0C" w:rsidRDefault="008D4F0C" w:rsidP="008D4F0C">
      <w:pPr>
        <w:spacing w:line="360" w:lineRule="auto"/>
        <w:jc w:val="both"/>
      </w:pPr>
      <w:r>
        <w:t xml:space="preserve">     Είναι σημαντικό να τονιστεί ότι η αβεβαιότητα που επικρατεί στον τομέα της αγροτικής βιοτεχνολογίας και η οποία οδηγεί σε ατελείς και, κατά συνέπεια, όχι πλήρως αξιόπιστες αξιολογήσεις των κινδύνων που οφείλονται στη χρήση ΓΤΟ δημιουργεί ένα κλίμα δυσπιστίας των πολιτών. Αυτό έχει ως αποτέλεσμα να </w:t>
      </w:r>
      <w:r>
        <w:lastRenderedPageBreak/>
        <w:t>υφίσταται πλήγμα η νομιμότητα των αποφάσεων των αρμόδιων αρχών</w:t>
      </w:r>
      <w:r>
        <w:rPr>
          <w:rStyle w:val="FootnoteReference"/>
        </w:rPr>
        <w:footnoteReference w:id="154"/>
      </w:r>
      <w:r>
        <w:t>. Πιο συγκεκριμένα, οι πολίτες αισθάνονται ότι είναι αποκλεισμένοι από τη διαδικασία λήψης των σχετικών αποφάσεων ή ότι αγνοούνται από αυτούς που αποφασίζουν. Βιώνουν, λοιπόν, μια πραγματικότητα της οποίας βασικά χαρακτηριστικά είναι η ανισότητα στην πρόσβαση στην εξουσία και στους πόρους</w:t>
      </w:r>
      <w:r>
        <w:rPr>
          <w:rStyle w:val="FootnoteReference"/>
        </w:rPr>
        <w:footnoteReference w:id="155"/>
      </w:r>
      <w:r>
        <w:t>. Επί πλέον, το ποιος παράγει και σε ποιους διανέμεται ο κίνδυνος και κάτω από ποιες προϋποθέσεις, αποτελεί βασικό θέμα της συζήτησης σχετικά με τους ΓΤΟ καθώς θέτει θεμελιώδη ζητήματα</w:t>
      </w:r>
      <w:r w:rsidRPr="001610FE">
        <w:t xml:space="preserve"> </w:t>
      </w:r>
      <w:r>
        <w:t>ισότητας και δημοκρατικής νομιμοποίησης των αποφάσεων</w:t>
      </w:r>
      <w:r>
        <w:rPr>
          <w:rStyle w:val="FootnoteReference"/>
        </w:rPr>
        <w:footnoteReference w:id="156"/>
      </w:r>
      <w:r>
        <w:t>.</w:t>
      </w:r>
    </w:p>
    <w:p w:rsidR="008D4F0C" w:rsidRDefault="008D4F0C" w:rsidP="008D4F0C">
      <w:pPr>
        <w:spacing w:line="360" w:lineRule="auto"/>
        <w:jc w:val="both"/>
      </w:pPr>
    </w:p>
    <w:p w:rsidR="008D4F0C" w:rsidRDefault="008D4F0C" w:rsidP="008D4F0C">
      <w:pPr>
        <w:spacing w:line="360" w:lineRule="auto"/>
        <w:jc w:val="both"/>
      </w:pPr>
      <w:r>
        <w:t xml:space="preserve">      Σ’ αυτό λοιπόν το πλαίσιο το καθοριζόμενο από τους παραπάνω παράγοντες και ιδίως από την επιχωριάζουσα αβεβαιότητα ή την άγνοια, οι αποφάσεις που στηρίζονται όχι μόνο στη γνώση αλλά και στις πεποιθήσεις, τις αξίες και την εμπειρία των ανθρώπων είναι αυτές που πρέπει να θεωρηθούν ορθολογικές και κατάλληλες</w:t>
      </w:r>
      <w:r>
        <w:rPr>
          <w:rStyle w:val="FootnoteReference"/>
        </w:rPr>
        <w:footnoteReference w:id="157"/>
      </w:r>
      <w:r>
        <w:t>. Με άλλες λέξεις, πρόκειται για τη συνύπαρξη της επιστημονικής και της κοινωνικής ορθολογικότητας μέσω της οποίας αναδεικνύονται οι πραγματικές διαστάσεις του κινδύνου δηλαδή τα φυσικά του στοιχεία και η προσλαμβανόμενη εικόνα τους από το κοινό. Με τον τρόπο αυτό διευρύνεται η βάση των αποφάσεων έτσι, ώστε όλοι οι νόμιμοι παράγοντες να διαδραματίζουν  το ρόλο που τους ανήκει.   Για να υλοποιηθεί η παραπάνω αντίληψη, το πρώτο και ενδεχομένως πιο σοβαρό βήμα είναι η εξασφάλιση της συμμετοχής του κοινού στις σχετικές διαδικασίες</w:t>
      </w:r>
      <w:r>
        <w:rPr>
          <w:rStyle w:val="FootnoteReference"/>
        </w:rPr>
        <w:footnoteReference w:id="158"/>
      </w:r>
      <w:r>
        <w:t>.</w:t>
      </w:r>
    </w:p>
    <w:p w:rsidR="008D4F0C" w:rsidRDefault="008D4F0C" w:rsidP="008D4F0C">
      <w:pPr>
        <w:spacing w:line="360" w:lineRule="auto"/>
        <w:jc w:val="both"/>
      </w:pPr>
    </w:p>
    <w:p w:rsidR="008D4F0C" w:rsidRDefault="008D4F0C" w:rsidP="008D4F0C">
      <w:pPr>
        <w:spacing w:line="360" w:lineRule="auto"/>
        <w:jc w:val="both"/>
      </w:pPr>
      <w:r>
        <w:t xml:space="preserve">    Το </w:t>
      </w:r>
      <w:r w:rsidRPr="005B31B3">
        <w:t>άρθρο 24</w:t>
      </w:r>
      <w:r>
        <w:t xml:space="preserve"> της Οδηγίας 2001/18/ΕΚ</w:t>
      </w:r>
      <w:r w:rsidRPr="005B31B3">
        <w:t xml:space="preserve"> προβλέπει </w:t>
      </w:r>
      <w:r>
        <w:t>τόσο</w:t>
      </w:r>
      <w:r w:rsidRPr="005B31B3">
        <w:t xml:space="preserve"> την ενημέρωση του κοινού </w:t>
      </w:r>
      <w:r>
        <w:t>όσο</w:t>
      </w:r>
      <w:r w:rsidRPr="005B31B3">
        <w:t xml:space="preserve"> και τη διατύπωση γνώμης για την έκθεση αξιολόγησης του κινδύνου</w:t>
      </w:r>
      <w:r w:rsidRPr="005B31B3">
        <w:rPr>
          <w:rStyle w:val="FootnoteReference"/>
        </w:rPr>
        <w:footnoteReference w:id="159"/>
      </w:r>
      <w:r>
        <w:t>. Ε</w:t>
      </w:r>
      <w:r w:rsidRPr="005B31B3">
        <w:t>ίναι π</w:t>
      </w:r>
      <w:r>
        <w:t>ιο προωθημένη σε σχέση με την ‘‘</w:t>
      </w:r>
      <w:r w:rsidRPr="005B31B3">
        <w:t xml:space="preserve">Ανακοίνωση της Επιτροπής για την αρχή της </w:t>
      </w:r>
      <w:r w:rsidRPr="005B31B3">
        <w:lastRenderedPageBreak/>
        <w:t>προφύλαξης’’ όπου γίνεται λόγος μόνο για ενημέρωση του κοινού</w:t>
      </w:r>
      <w:r w:rsidRPr="005B31B3">
        <w:rPr>
          <w:rStyle w:val="FootnoteReference"/>
        </w:rPr>
        <w:footnoteReference w:id="160"/>
      </w:r>
      <w:r>
        <w:t xml:space="preserve">. Περαιτέρω, όπως ήδη αναφέρθηκε, το άρθρο 6(7) του Κανονισμού 1829/2003/ΕΚ προσφέρει τη δυνατότητα στο κοινό να προβεί σε σχόλια μετά τη δημοσίευση της γνώμης της </w:t>
      </w:r>
      <w:r>
        <w:rPr>
          <w:lang w:val="en-US"/>
        </w:rPr>
        <w:t>EFSA</w:t>
      </w:r>
      <w:r w:rsidRPr="00EF6C41">
        <w:t>.</w:t>
      </w:r>
      <w:r>
        <w:t xml:space="preserve"> Ωστόσο, δεν προβλέπεται από τη νομοθεσία εάν και κατά πόσο θα λαμβάνονται υπόψη</w:t>
      </w:r>
      <w:r w:rsidRPr="006C74C8">
        <w:t xml:space="preserve">, </w:t>
      </w:r>
      <w:r>
        <w:t>κατά τη λήψη της σχετικής απόφασης από τα αρμόδια όργανα, οι γνώμες ή τα συμπεράσματα που προέκυψαν από τη διαδικασία ενημέρωσης και συμμετοχής</w:t>
      </w:r>
      <w:r>
        <w:rPr>
          <w:rStyle w:val="FootnoteReference"/>
        </w:rPr>
        <w:footnoteReference w:id="161"/>
      </w:r>
      <w:r>
        <w:t>.  Έτσι, λοιπόν, αναγνωρίζει μεν η ευρωπαϊκή νομοθεσία</w:t>
      </w:r>
      <w:r w:rsidRPr="005B31B3">
        <w:t xml:space="preserve"> </w:t>
      </w:r>
      <w:r>
        <w:t>την</w:t>
      </w:r>
      <w:r w:rsidRPr="005B31B3">
        <w:t xml:space="preserve"> αναγ</w:t>
      </w:r>
      <w:r>
        <w:t>καιότητα πολλαπλών αξιολογήσεων</w:t>
      </w:r>
      <w:r w:rsidRPr="005B31B3">
        <w:t xml:space="preserve"> </w:t>
      </w:r>
      <w:r>
        <w:t xml:space="preserve">πλην όμως </w:t>
      </w:r>
      <w:r w:rsidRPr="005B31B3">
        <w:t>με τρόπο ατελή, μερικό και πρωτόλειο</w:t>
      </w:r>
      <w:r>
        <w:t>.</w:t>
      </w:r>
      <w:r w:rsidRPr="005B31B3">
        <w:t xml:space="preserve"> </w:t>
      </w:r>
      <w:r>
        <w:t>Το κύριο πρόβλημα εντοπίζεται στο ότι</w:t>
      </w:r>
      <w:r w:rsidRPr="005B31B3">
        <w:t xml:space="preserve"> δεν διαγράφεται σαφώς το πλαίσιο διεξαγωγής αυτών των αξιολογήσεων, ώστε να οργανωθεί μια πραγματικά δημοκρατική συζήτηση</w:t>
      </w:r>
      <w:r w:rsidRPr="005B31B3">
        <w:rPr>
          <w:rStyle w:val="FootnoteReference"/>
        </w:rPr>
        <w:footnoteReference w:id="162"/>
      </w:r>
      <w:r>
        <w:t>.</w:t>
      </w:r>
      <w:r w:rsidRPr="005B31B3">
        <w:t xml:space="preserve"> </w:t>
      </w:r>
    </w:p>
    <w:p w:rsidR="008D4F0C" w:rsidRDefault="008D4F0C" w:rsidP="008D4F0C">
      <w:pPr>
        <w:spacing w:line="360" w:lineRule="auto"/>
        <w:jc w:val="both"/>
      </w:pPr>
    </w:p>
    <w:p w:rsidR="008D4F0C" w:rsidRDefault="008D4F0C" w:rsidP="008D4F0C">
      <w:pPr>
        <w:spacing w:line="360" w:lineRule="auto"/>
        <w:jc w:val="both"/>
      </w:pPr>
      <w:r>
        <w:t xml:space="preserve">     </w:t>
      </w:r>
      <w:r w:rsidRPr="005B31B3">
        <w:t>Αυτή</w:t>
      </w:r>
      <w:r>
        <w:t>,</w:t>
      </w:r>
      <w:r w:rsidRPr="005B31B3">
        <w:t xml:space="preserve"> ωστόσο</w:t>
      </w:r>
      <w:r>
        <w:t>,</w:t>
      </w:r>
      <w:r w:rsidRPr="005B31B3">
        <w:t xml:space="preserve"> η δειλή αναγνώριση αποτελεί σημαντικό βήμα για περαιτέρω επεξεργασίες με στόχο την αποτελεσματική συμμετοχή των πολιτών και τη βελτίωση της λειτουργίας των επιστημονικών επιτροπών για τη</w:t>
      </w:r>
      <w:r>
        <w:t>ν</w:t>
      </w:r>
      <w:r w:rsidRPr="005B31B3">
        <w:t xml:space="preserve"> αξιολόγηση των</w:t>
      </w:r>
      <w:r>
        <w:t xml:space="preserve"> περιβαλλοντικών</w:t>
      </w:r>
      <w:r w:rsidRPr="005B31B3">
        <w:t xml:space="preserve"> κινδύνων</w:t>
      </w:r>
      <w:r w:rsidRPr="005B31B3">
        <w:rPr>
          <w:rStyle w:val="FootnoteReference"/>
        </w:rPr>
        <w:footnoteReference w:id="163"/>
      </w:r>
      <w:r w:rsidRPr="005B31B3">
        <w:t xml:space="preserve"> προς τη</w:t>
      </w:r>
      <w:r>
        <w:t>ν</w:t>
      </w:r>
      <w:r w:rsidRPr="005B31B3">
        <w:t xml:space="preserve"> κατεύθυνση της ανεξαρτησίας και της διαφάνειας</w:t>
      </w:r>
      <w:r w:rsidRPr="005B31B3">
        <w:rPr>
          <w:rStyle w:val="FootnoteReference"/>
        </w:rPr>
        <w:footnoteReference w:id="164"/>
      </w:r>
      <w:r>
        <w:t>.</w:t>
      </w:r>
      <w:r w:rsidRPr="005B31B3">
        <w:t xml:space="preserve"> Επί πλέον</w:t>
      </w:r>
      <w:r>
        <w:t>,</w:t>
      </w:r>
      <w:r w:rsidRPr="005B31B3">
        <w:t xml:space="preserve"> η αποτελεσματική εμπλοκή των πολιτών στη</w:t>
      </w:r>
      <w:r>
        <w:t>ν</w:t>
      </w:r>
      <w:r w:rsidRPr="005B31B3">
        <w:t xml:space="preserve"> προβλεπόμενη διαδικασία</w:t>
      </w:r>
      <w:r>
        <w:t xml:space="preserve"> συμβάλλει στον καθορισμό του ‘‘</w:t>
      </w:r>
      <w:r w:rsidRPr="005B31B3">
        <w:t xml:space="preserve">αποδεκτού κινδύνου’’ </w:t>
      </w:r>
      <w:r>
        <w:t>ο οποίος</w:t>
      </w:r>
      <w:r w:rsidRPr="005B31B3">
        <w:t xml:space="preserve"> δεν προκύπτει αποκλειστικά από την επιστημονική αξιολόγηση</w:t>
      </w:r>
      <w:r>
        <w:t>. Είναι σημαντικό να σημειώσουμε ότι δεν προσδιορίζεται στην οδηγία 2001/18/ΕΚ τι συνιστά κίνδυνο</w:t>
      </w:r>
      <w:r>
        <w:rPr>
          <w:rStyle w:val="FootnoteReference"/>
        </w:rPr>
        <w:footnoteReference w:id="165"/>
      </w:r>
      <w:r>
        <w:t xml:space="preserve"> ή αρνητική επίπτωση</w:t>
      </w:r>
      <w:r>
        <w:rPr>
          <w:rStyle w:val="FootnoteReference"/>
        </w:rPr>
        <w:footnoteReference w:id="166"/>
      </w:r>
      <w:r>
        <w:t>. Κατά συνέπεια, για τον ως άνω προσδιορισμό, δεν αρκεί η ποσοτική εκτίμηση του κινδύνου αλλά πρέπει να λαμβάνονται υπόψη και άλλες παράμετροι ποιοτικού χαρακτήρα</w:t>
      </w:r>
      <w:r>
        <w:rPr>
          <w:rStyle w:val="FootnoteReference"/>
        </w:rPr>
        <w:footnoteReference w:id="167"/>
      </w:r>
      <w:r>
        <w:t>.</w:t>
      </w:r>
      <w:r w:rsidRPr="00340FA4">
        <w:t xml:space="preserve"> </w:t>
      </w:r>
    </w:p>
    <w:p w:rsidR="008D4F0C" w:rsidRDefault="008D4F0C" w:rsidP="008D4F0C">
      <w:pPr>
        <w:spacing w:line="360" w:lineRule="auto"/>
        <w:jc w:val="both"/>
      </w:pPr>
    </w:p>
    <w:p w:rsidR="008D4F0C" w:rsidRDefault="008D4F0C" w:rsidP="008D4F0C">
      <w:pPr>
        <w:spacing w:line="360" w:lineRule="auto"/>
        <w:jc w:val="both"/>
      </w:pPr>
      <w:r>
        <w:t xml:space="preserve">     Αυτό, άλλωστε, αναγνωρίζεται στην ως άνω Οδηγία καθώς</w:t>
      </w:r>
      <w:r w:rsidRPr="005B31B3">
        <w:t xml:space="preserve"> υποχρεώνει την Επιτροπή να συμβουλεύεται όχι μόνο τις επιστημονικές επιτροπές αλλά και τις επιτροπές ηθικής</w:t>
      </w:r>
      <w:r w:rsidRPr="005B31B3">
        <w:rPr>
          <w:rStyle w:val="FootnoteReference"/>
        </w:rPr>
        <w:footnoteReference w:id="168"/>
      </w:r>
      <w:r>
        <w:t>. Ειδικότερα, η λήψη υπόψη των θρησκευτικών πεποιθήσεων και των ηθικών αντιλήψεων στο ζήτημα των ΓΤΟ αποτέλεσε αντικείμενο εξέτασης του ΔΕΚ. Σε μια ενδιαφέρουσα απόφαση</w:t>
      </w:r>
      <w:r>
        <w:rPr>
          <w:rStyle w:val="FootnoteReference"/>
        </w:rPr>
        <w:footnoteReference w:id="169"/>
      </w:r>
      <w:r>
        <w:t xml:space="preserve"> το Δικαστήριο έκρινε, κατ’ αρχάς, ότι γενικώς οι θρησκευτικοί και δεοντολογικοί λόγοι δεν εμπίπτουν στην οδηγία 2001/18/ΕΚ</w:t>
      </w:r>
      <w:r>
        <w:rPr>
          <w:rStyle w:val="FootnoteReference"/>
        </w:rPr>
        <w:footnoteReference w:id="170"/>
      </w:r>
      <w:r>
        <w:t>. Ωστόσο, στη συνέχεια επισημαίνει ότι  τα κράτη μέλη μπορούν να επικαλούνται θρησκευτικούς και δεοντολογικούς σκοπούς για τη θέσπιση εσωτερικών μέτρων περιορισμού ή απαγόρευσης υπό τον όρο όμως ότι θα πρέπει να το αποδείξουν συγκεκριμένα</w:t>
      </w:r>
      <w:r>
        <w:rPr>
          <w:rStyle w:val="FootnoteReference"/>
        </w:rPr>
        <w:footnoteReference w:id="171"/>
      </w:r>
      <w:r>
        <w:t>. Με άλλες λέξεις, το Δικαστήριο δέχθηκε ότι είναι δυνατόν να προβληθούν λόγοι δημόσιας ηθικής πλην όμως τα επίπεδα απόδειξης αυτών των λόγων είναι υψηλά.</w:t>
      </w:r>
    </w:p>
    <w:p w:rsidR="008D4F0C" w:rsidRDefault="008D4F0C" w:rsidP="008D4F0C">
      <w:pPr>
        <w:spacing w:line="360" w:lineRule="auto"/>
        <w:jc w:val="both"/>
      </w:pPr>
    </w:p>
    <w:p w:rsidR="008D4F0C" w:rsidRDefault="008D4F0C" w:rsidP="008D4F0C">
      <w:pPr>
        <w:spacing w:line="360" w:lineRule="auto"/>
        <w:jc w:val="both"/>
      </w:pPr>
      <w:r>
        <w:t xml:space="preserve">      Περαιτέρω, σύμφωνα με την έμμεση υπόδειξη της οδηγίας 2001/18/ΕΚ,  οι κοινωνικοοικονομικές επιπτώσεις από τη σκόπιμη απελευθέρωση και τη διάθεση στην αγορά ΓΤΟ πρέπει να λαμβάνονται υπόψη κατά τη λήψη της οικείας απόφασης</w:t>
      </w:r>
      <w:r>
        <w:rPr>
          <w:rStyle w:val="FootnoteReference"/>
        </w:rPr>
        <w:footnoteReference w:id="172"/>
      </w:r>
      <w:r>
        <w:t>. Ομοίως, πρέπει να λαμβάνονται υπόψη και τα συμφέροντα των γεωργών και των καταναλωτών</w:t>
      </w:r>
      <w:r>
        <w:rPr>
          <w:rStyle w:val="FootnoteReference"/>
        </w:rPr>
        <w:footnoteReference w:id="173"/>
      </w:r>
      <w:r>
        <w:t>. Θα πρέπει, ωστόσο, να τονιστεί ότι το παραπάνω συμπέρασμα δεν προκύπτει ευθέως από τις σχετικές διατάξεις, όπως συμβαίνει με το Πρωτόκολλο της Καρθαγένης. Γι’ αυτό το λόγο, η έλλειψη δεσμευτικών ρυθμίσεων οδηγεί εύκολα στο να παρακαμφθεί το ζήτημα. Αυτό, μάλιστα, επιτείνεται από τη γενικότερη στάση της νομολογίας. Το Δικαστήριο έκρινε επανειλημμένα ότι καθαρά οικονομικοί λόγοι δεν μπορούν να αποτελέσουν τη βάση για τον περιορισμό της ελεύθερης κυκλοφορίας των αγαθών</w:t>
      </w:r>
      <w:r>
        <w:rPr>
          <w:rStyle w:val="FootnoteReference"/>
        </w:rPr>
        <w:footnoteReference w:id="174"/>
      </w:r>
      <w:r>
        <w:t xml:space="preserve">. </w:t>
      </w:r>
      <w:r w:rsidRPr="002A7ED3">
        <w:t xml:space="preserve"> </w:t>
      </w:r>
      <w:r>
        <w:t xml:space="preserve">Εν όψει του παραπάνω κενού, η Επιτροπή δεσμεύτηκε να καταθέσει κείμενο σχετικά με τις κοινωνικοοικονομικές επιπτώσεις μέχρι τέλους του 2010. </w:t>
      </w:r>
    </w:p>
    <w:p w:rsidR="008D4F0C" w:rsidRDefault="008D4F0C" w:rsidP="008D4F0C">
      <w:pPr>
        <w:spacing w:line="360" w:lineRule="auto"/>
        <w:jc w:val="both"/>
      </w:pPr>
    </w:p>
    <w:p w:rsidR="008D4F0C" w:rsidRDefault="008D4F0C" w:rsidP="008D4F0C">
      <w:pPr>
        <w:spacing w:line="360" w:lineRule="auto"/>
        <w:jc w:val="both"/>
      </w:pPr>
      <w:r>
        <w:t xml:space="preserve">      Σε ό,τι αφορά γενικότερα στη συμμετοχή του κοινού, θα πρέπει να υπογραμμιστεί ότι πρέπει να διεξάγεται εντός ενός δομημένου θεσμικού πλαισίου με συγκεκριμένες διαδικασίες και στόχους. Συνεπώς, δεν έχει σχέση με τις δημοσκοπήσεις οι οποίες είναι επιφανειακά εργαλεία αποτύπωσης της κοινής γνώμης. Ειδικότερα, η δημόσια συμμετοχή αποσκοπεί στο να ενταχθούν οι απόψεις των πολιτών στη διαδικασία λήψης απόφασης με την έννοια ότι παρέχεται η πραγματική δυνατότητα στους πολίτες να γνωρίσουν όλα τα δεδομένα και να λάβουν θέση για το συζητούμενο πρόβλημα</w:t>
      </w:r>
      <w:r>
        <w:rPr>
          <w:rStyle w:val="FootnoteReference"/>
        </w:rPr>
        <w:footnoteReference w:id="175"/>
      </w:r>
      <w:r>
        <w:t xml:space="preserve">. </w:t>
      </w:r>
    </w:p>
    <w:p w:rsidR="008D4F0C" w:rsidRDefault="008D4F0C" w:rsidP="008D4F0C">
      <w:pPr>
        <w:spacing w:line="360" w:lineRule="auto"/>
        <w:jc w:val="both"/>
      </w:pPr>
    </w:p>
    <w:p w:rsidR="008D4F0C" w:rsidRDefault="008D4F0C" w:rsidP="008D4F0C">
      <w:pPr>
        <w:spacing w:line="360" w:lineRule="auto"/>
        <w:jc w:val="both"/>
      </w:pPr>
      <w:r>
        <w:t xml:space="preserve">       Όπως ήδη έχει τονιστεί, οι πολίτες πρέπει να έχουν ενεργό ρόλο τόσο κατά το στάδιο της αξιολόγησης όσο και κατά το στάδιο διαχείρισης του κινδύνου</w:t>
      </w:r>
      <w:r>
        <w:rPr>
          <w:rStyle w:val="FootnoteReference"/>
        </w:rPr>
        <w:footnoteReference w:id="176"/>
      </w:r>
      <w:r>
        <w:t>. Κατά την επικρατούσα άποψη, η αξιολόγηση του κινδύνου αναφέρεται αποκλειστικά στα γεγονότα και κατά συνέπεια δεν υπάρχει έδαφος για αξιολογικές κρίσεις και για πολιτικές αποφάσεις. Γι’ αυτό το λόγο δεν προσφέρεται το στάδιο αξιολόγησης του κινδύνου για συμμετοχή του κοινού. Ωστόσο, όπως έχει ήδη αναφερθεί,</w:t>
      </w:r>
      <w:r w:rsidRPr="001D5A13">
        <w:t xml:space="preserve"> </w:t>
      </w:r>
      <w:r>
        <w:t>τόσο η πρακτική εμπειρία όσο και η θεωρία δείχνουν ότι δεν υφίσταται σαφής διαχωρισμός των δύο σταδίων καθώς αξιολογικές κρίσεις και επιλογές πολιτικού χαρακτήρα υπάρχουν σε αμφότερα τα στάδια</w:t>
      </w:r>
      <w:r>
        <w:rPr>
          <w:rStyle w:val="FootnoteReference"/>
        </w:rPr>
        <w:footnoteReference w:id="177"/>
      </w:r>
      <w:r>
        <w:t>. Κατά συνέπεια, η συμμετοχή του κοινού μπορεί να αναδείξει όσες παραδοχές στηρίζονται σε λανθασμένη βάση, όπως επίσης και τις αξιολογικές κρίσεις στις οποίες προβαίνουν οι επιστήμονες και οι άλλοι ειδικοί που συμμετέχουν στην αξιολόγηση του κινδύνου.</w:t>
      </w:r>
      <w:r w:rsidRPr="00DA27DC">
        <w:t xml:space="preserve"> </w:t>
      </w:r>
      <w:r>
        <w:t>Ας σημειωθεί ότι κάθε παραδοχή ή τεκμήριο εμπεριέχει μια επιλογή μεταξύ ανταγωνιστικών παραδοχών ή τεκμηρίων</w:t>
      </w:r>
      <w:r>
        <w:rPr>
          <w:rStyle w:val="FootnoteReference"/>
        </w:rPr>
        <w:t xml:space="preserve"> </w:t>
      </w:r>
      <w:r>
        <w:rPr>
          <w:rStyle w:val="FootnoteReference"/>
        </w:rPr>
        <w:footnoteReference w:id="178"/>
      </w:r>
      <w:r>
        <w:t xml:space="preserve">. </w:t>
      </w:r>
    </w:p>
    <w:p w:rsidR="008D4F0C" w:rsidRDefault="008D4F0C" w:rsidP="008D4F0C">
      <w:pPr>
        <w:spacing w:line="360" w:lineRule="auto"/>
        <w:jc w:val="both"/>
      </w:pPr>
      <w:r>
        <w:t xml:space="preserve"> </w:t>
      </w:r>
    </w:p>
    <w:p w:rsidR="008D4F0C" w:rsidRDefault="008D4F0C" w:rsidP="008D4F0C">
      <w:pPr>
        <w:spacing w:line="360" w:lineRule="auto"/>
        <w:jc w:val="both"/>
      </w:pPr>
      <w:r>
        <w:t xml:space="preserve">       Είναι γνωστό ότι υπάρχουν διάφορες τεχνικές συμμετοχής στις διαδικασίες που αφορούν σε σύγχρονες τεχνολογίες</w:t>
      </w:r>
      <w:r>
        <w:rPr>
          <w:rStyle w:val="FootnoteReference"/>
        </w:rPr>
        <w:footnoteReference w:id="179"/>
      </w:r>
      <w:r>
        <w:t>. Μεταξύ αυτών η περισσότερο γνωστή  είναι οι λεγόμενες συνελεύσεις για</w:t>
      </w:r>
      <w:r w:rsidRPr="00F714D5">
        <w:t xml:space="preserve"> </w:t>
      </w:r>
      <w:r>
        <w:rPr>
          <w:lang w:val="en-US"/>
        </w:rPr>
        <w:t>consensus</w:t>
      </w:r>
      <w:r>
        <w:t xml:space="preserve">  και λιγότερο γνωστές οι πολίτες-κριτές και οι </w:t>
      </w:r>
      <w:r>
        <w:lastRenderedPageBreak/>
        <w:t>πυρήνες προγραμματισμού</w:t>
      </w:r>
      <w:r>
        <w:rPr>
          <w:rStyle w:val="FootnoteReference"/>
        </w:rPr>
        <w:footnoteReference w:id="180"/>
      </w:r>
      <w:r>
        <w:t>. Όλες αυτές οι τεχνικές οργανώνουν τους απλούς πολίτες σε πάνελ τα οποία αξιολογούν τις συμβολές των ειδικών. Π.χ., σε μία συνέλευση για</w:t>
      </w:r>
      <w:r w:rsidRPr="00AC02C8">
        <w:t xml:space="preserve"> </w:t>
      </w:r>
      <w:r>
        <w:rPr>
          <w:lang w:val="en-US"/>
        </w:rPr>
        <w:t>consensus</w:t>
      </w:r>
      <w:r>
        <w:t xml:space="preserve"> η συνάντηση διαρκεί πολλές ημέρες και στοχεύει στην ανάπτυξη διαλόγου μεταξύ πολιτών (15 έως 25 άτομα) και ομάδας ειδικών</w:t>
      </w:r>
      <w:r>
        <w:rPr>
          <w:rStyle w:val="FootnoteReference"/>
        </w:rPr>
        <w:footnoteReference w:id="181"/>
      </w:r>
      <w:r>
        <w:t xml:space="preserve">. Στη συνέλευση οι ειδικοί (που έχουν επιλεγεί σε ένα ποσοστό από τα πάνελ των πολιτών) παρουσιάζουν τις απαντήσεις τους στα ερωτήματα των πάνελ, οι δε πολίτες αντεξετάζουν τους ειδικούς. Μετά τη συζήτηση τα πάνελ των πολιτών ετοιμάζουν μία έκθεση η οποία, στηριζόμενη στο </w:t>
      </w:r>
      <w:r>
        <w:rPr>
          <w:lang w:val="en-US"/>
        </w:rPr>
        <w:t>consensus</w:t>
      </w:r>
      <w:r>
        <w:t xml:space="preserve"> που επιτεύχθηκε, παρουσιάζει τα συμπεράσματα και τις συστάσεις. Θα πρέπει να τονιστεί ότι το ζήτημα των τεχνικών συμμετοχής έχει ιδιαίτερη σημασία για τη λήψη της κατά το δυνατόν ορθής απόφασης. Κι’ αυτό για μια σειρά από λόγους. Πρώτον, εν όψει της αβεβαιότητας που επικρατεί στον τομέα των νέων τεχνολογιών και, εν προκειμένω, της βιοτεχνολογίας, είναι αναγκαίο να ανατρέχει κάποιος σε πολλές πηγές πληροφόρησης ώστε να γνωρίσει τι εκλαμβάνει ως κίνδυνο η κάθε πηγή. Δεύτερον, από την πλευρά της δημοκρατικής προοπτικής, όσοι υφίστανται τους κινδύνους ή τους τρόπους με τους οποίους αντιμετωπίζονται έχουν δικαίωμα να γνωρίζουν σχετικά με τους κινδύνους αυτούς</w:t>
      </w:r>
      <w:r>
        <w:rPr>
          <w:rStyle w:val="FootnoteReference"/>
        </w:rPr>
        <w:footnoteReference w:id="182"/>
      </w:r>
      <w:r>
        <w:t xml:space="preserve">. </w:t>
      </w: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Default="008D4F0C" w:rsidP="008D4F0C">
      <w:pPr>
        <w:spacing w:line="360" w:lineRule="auto"/>
        <w:jc w:val="both"/>
      </w:pPr>
    </w:p>
    <w:p w:rsidR="008D4F0C" w:rsidRPr="00EC0CED" w:rsidRDefault="008D4F0C" w:rsidP="008D4F0C">
      <w:pPr>
        <w:spacing w:line="360" w:lineRule="auto"/>
        <w:jc w:val="both"/>
      </w:pPr>
    </w:p>
    <w:p w:rsidR="007927CB" w:rsidRDefault="007927CB"/>
    <w:sectPr w:rsidR="007927CB" w:rsidSect="007927C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2D9" w:rsidRDefault="003522D9" w:rsidP="00742CAF">
      <w:r>
        <w:separator/>
      </w:r>
    </w:p>
  </w:endnote>
  <w:endnote w:type="continuationSeparator" w:id="0">
    <w:p w:rsidR="003522D9" w:rsidRDefault="003522D9" w:rsidP="0074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2D9" w:rsidRDefault="003522D9" w:rsidP="00742CAF">
      <w:r>
        <w:separator/>
      </w:r>
    </w:p>
  </w:footnote>
  <w:footnote w:type="continuationSeparator" w:id="0">
    <w:p w:rsidR="003522D9" w:rsidRDefault="003522D9" w:rsidP="00742CAF">
      <w:r>
        <w:continuationSeparator/>
      </w:r>
    </w:p>
  </w:footnote>
  <w:footnote w:id="1">
    <w:p w:rsidR="00742CAF" w:rsidRPr="00425A3A" w:rsidRDefault="00742CAF" w:rsidP="00742CAF">
      <w:pPr>
        <w:pStyle w:val="FootnoteText"/>
        <w:jc w:val="both"/>
        <w:rPr>
          <w:lang w:val="en-US"/>
        </w:rPr>
      </w:pPr>
      <w:r>
        <w:rPr>
          <w:rStyle w:val="FootnoteReference"/>
        </w:rPr>
        <w:footnoteRef/>
      </w:r>
      <w:r w:rsidRPr="00425A3A">
        <w:rPr>
          <w:lang w:val="en-US"/>
        </w:rPr>
        <w:t xml:space="preserve"> </w:t>
      </w:r>
      <w:r>
        <w:t>Βλ</w:t>
      </w:r>
      <w:r w:rsidRPr="00425A3A">
        <w:rPr>
          <w:lang w:val="en-US"/>
        </w:rPr>
        <w:t xml:space="preserve">., </w:t>
      </w:r>
      <w:r>
        <w:t>αντί</w:t>
      </w:r>
      <w:r w:rsidRPr="00425A3A">
        <w:rPr>
          <w:lang w:val="en-US"/>
        </w:rPr>
        <w:t xml:space="preserve"> </w:t>
      </w:r>
      <w:r>
        <w:t>πολλών</w:t>
      </w:r>
      <w:r w:rsidRPr="00425A3A">
        <w:rPr>
          <w:lang w:val="en-US"/>
        </w:rPr>
        <w:t xml:space="preserve">, </w:t>
      </w:r>
      <w:r>
        <w:rPr>
          <w:i/>
          <w:lang w:val="en-US"/>
        </w:rPr>
        <w:t>G</w:t>
      </w:r>
      <w:r w:rsidRPr="00425A3A">
        <w:rPr>
          <w:i/>
          <w:lang w:val="en-US"/>
        </w:rPr>
        <w:t>.</w:t>
      </w:r>
      <w:r>
        <w:rPr>
          <w:i/>
          <w:lang w:val="en-US"/>
        </w:rPr>
        <w:t>N</w:t>
      </w:r>
      <w:r w:rsidRPr="00425A3A">
        <w:rPr>
          <w:i/>
          <w:lang w:val="en-US"/>
        </w:rPr>
        <w:t xml:space="preserve">. </w:t>
      </w:r>
      <w:r>
        <w:rPr>
          <w:i/>
          <w:lang w:val="en-US"/>
        </w:rPr>
        <w:t>Mandel</w:t>
      </w:r>
      <w:r w:rsidRPr="00425A3A">
        <w:rPr>
          <w:i/>
          <w:lang w:val="en-US"/>
        </w:rPr>
        <w:t xml:space="preserve">, </w:t>
      </w:r>
      <w:r>
        <w:rPr>
          <w:lang w:val="en-US"/>
        </w:rPr>
        <w:t xml:space="preserve">“Regulating Emerging Technologies”, Law, Innovation and Technology, Vol. 1(1), 2009, </w:t>
      </w:r>
      <w:r>
        <w:t>σ</w:t>
      </w:r>
      <w:r w:rsidRPr="00425A3A">
        <w:rPr>
          <w:lang w:val="en-US"/>
        </w:rPr>
        <w:t>. 75-92.</w:t>
      </w:r>
    </w:p>
  </w:footnote>
  <w:footnote w:id="2">
    <w:p w:rsidR="00742CAF" w:rsidRPr="00680BB1" w:rsidRDefault="00742CAF" w:rsidP="00742CAF">
      <w:pPr>
        <w:pStyle w:val="FootnoteText"/>
        <w:jc w:val="both"/>
        <w:rPr>
          <w:lang w:val="en-US"/>
        </w:rPr>
      </w:pPr>
      <w:r>
        <w:rPr>
          <w:rStyle w:val="FootnoteReference"/>
        </w:rPr>
        <w:footnoteRef/>
      </w:r>
      <w:r w:rsidRPr="00680BB1">
        <w:t xml:space="preserve"> </w:t>
      </w:r>
      <w:r>
        <w:t>Άλλες εφαρμογές της γενετικής μηχανικής είναι η δημιουργία συνθετικής ινσουλίνης, ορμονών ανθρώπινης ανάπτυξης και άλλων πρωτεϊνών για ιατρική θεραπεία. Βλ</w:t>
      </w:r>
      <w:r w:rsidRPr="00680BB1">
        <w:rPr>
          <w:lang w:val="en-US"/>
        </w:rPr>
        <w:t xml:space="preserve">., </w:t>
      </w:r>
      <w:r w:rsidRPr="00680BB1">
        <w:rPr>
          <w:i/>
          <w:lang w:val="en-US"/>
        </w:rPr>
        <w:t>A. McHughen</w:t>
      </w:r>
      <w:r w:rsidRPr="00680BB1">
        <w:rPr>
          <w:lang w:val="en-US"/>
        </w:rPr>
        <w:t xml:space="preserve">, </w:t>
      </w:r>
      <w:r>
        <w:rPr>
          <w:lang w:val="en-US"/>
        </w:rPr>
        <w:t>“</w:t>
      </w:r>
      <w:r w:rsidRPr="00680BB1">
        <w:rPr>
          <w:lang w:val="en-US"/>
        </w:rPr>
        <w:t xml:space="preserve">Learning From Mistakes : </w:t>
      </w:r>
      <w:r>
        <w:rPr>
          <w:lang w:val="en-US"/>
        </w:rPr>
        <w:t xml:space="preserve">Missteps in Public Acceptance Issues with GMOs”, in: </w:t>
      </w:r>
      <w:r>
        <w:rPr>
          <w:i/>
          <w:lang w:val="en-US"/>
        </w:rPr>
        <w:t>K. David, P.B. Thompson</w:t>
      </w:r>
      <w:r w:rsidRPr="00680BB1">
        <w:rPr>
          <w:lang w:val="en-US"/>
        </w:rPr>
        <w:t xml:space="preserve"> </w:t>
      </w:r>
      <w:r>
        <w:rPr>
          <w:lang w:val="en-US"/>
        </w:rPr>
        <w:t xml:space="preserve">(Eds), What Can Biotechnology Learn From Nanotechnology, Academic Press, 2008, </w:t>
      </w:r>
      <w:r>
        <w:t>σ</w:t>
      </w:r>
      <w:r w:rsidRPr="00680BB1">
        <w:rPr>
          <w:lang w:val="en-US"/>
        </w:rPr>
        <w:t xml:space="preserve">. 39-40 (33 </w:t>
      </w:r>
      <w:r>
        <w:t>επ</w:t>
      </w:r>
      <w:r w:rsidRPr="00680BB1">
        <w:rPr>
          <w:lang w:val="en-US"/>
        </w:rPr>
        <w:t>)</w:t>
      </w:r>
    </w:p>
  </w:footnote>
  <w:footnote w:id="3">
    <w:p w:rsidR="00742CAF" w:rsidRPr="00A17B18" w:rsidRDefault="00742CAF" w:rsidP="00742CAF">
      <w:pPr>
        <w:pStyle w:val="FootnoteText"/>
        <w:jc w:val="both"/>
        <w:rPr>
          <w:lang w:val="fr-FR"/>
        </w:rPr>
      </w:pPr>
      <w:r w:rsidRPr="005B31B3">
        <w:rPr>
          <w:rStyle w:val="FootnoteReference"/>
        </w:rPr>
        <w:footnoteRef/>
      </w:r>
      <w:r w:rsidRPr="00A17B18">
        <w:rPr>
          <w:lang w:val="fr-FR"/>
        </w:rPr>
        <w:t xml:space="preserve"> </w:t>
      </w:r>
      <w:r>
        <w:rPr>
          <w:i/>
          <w:lang w:val="fr-FR"/>
        </w:rPr>
        <w:t>A</w:t>
      </w:r>
      <w:r w:rsidRPr="00831C41">
        <w:rPr>
          <w:i/>
          <w:lang w:val="fr-FR"/>
        </w:rPr>
        <w:t>.</w:t>
      </w:r>
      <w:r w:rsidRPr="00A17B18">
        <w:rPr>
          <w:i/>
          <w:lang w:val="fr-FR"/>
        </w:rPr>
        <w:t xml:space="preserve"> Kahn</w:t>
      </w:r>
      <w:r w:rsidRPr="00A17B18">
        <w:rPr>
          <w:lang w:val="fr-FR"/>
        </w:rPr>
        <w:t xml:space="preserve">, Société et révolution biologique. Pour une éthique de la responsabilité, Paris, Éditions INRA, 1996, </w:t>
      </w:r>
      <w:r w:rsidRPr="005B31B3">
        <w:t>σ</w:t>
      </w:r>
      <w:r w:rsidRPr="00A17B18">
        <w:rPr>
          <w:lang w:val="fr-FR"/>
        </w:rPr>
        <w:t xml:space="preserve">. 15, </w:t>
      </w:r>
      <w:r w:rsidRPr="00A17B18">
        <w:rPr>
          <w:bCs/>
          <w:i/>
          <w:lang w:val="fr-FR"/>
        </w:rPr>
        <w:t>N. Clark, K. Stokes, J. Mugabe</w:t>
      </w:r>
      <w:r w:rsidRPr="00A17B18">
        <w:rPr>
          <w:lang w:val="fr-FR"/>
        </w:rPr>
        <w:t>, “Biotechnology and  development: the threats  and promises for the 21st Cen</w:t>
      </w:r>
      <w:r>
        <w:rPr>
          <w:lang w:val="fr-FR"/>
        </w:rPr>
        <w:t>tury”, Futures, Vol. 34</w:t>
      </w:r>
      <w:r w:rsidRPr="00053F38">
        <w:rPr>
          <w:lang w:val="fr-FR"/>
        </w:rPr>
        <w:t>(</w:t>
      </w:r>
      <w:r w:rsidRPr="00A17B18">
        <w:rPr>
          <w:lang w:val="fr-FR"/>
        </w:rPr>
        <w:t>9-10</w:t>
      </w:r>
      <w:r w:rsidRPr="00053F38">
        <w:rPr>
          <w:lang w:val="fr-FR"/>
        </w:rPr>
        <w:t>)</w:t>
      </w:r>
      <w:r w:rsidRPr="00A17B18">
        <w:rPr>
          <w:lang w:val="fr-FR"/>
        </w:rPr>
        <w:t xml:space="preserve"> 2002, </w:t>
      </w:r>
      <w:r w:rsidRPr="005B31B3">
        <w:t>σ</w:t>
      </w:r>
      <w:r w:rsidRPr="00A17B18">
        <w:rPr>
          <w:lang w:val="fr-FR"/>
        </w:rPr>
        <w:t xml:space="preserve">. 791.   </w:t>
      </w:r>
    </w:p>
  </w:footnote>
  <w:footnote w:id="4">
    <w:p w:rsidR="00742CAF" w:rsidRPr="00E25BB4" w:rsidRDefault="00742CAF" w:rsidP="00742CAF">
      <w:pPr>
        <w:pStyle w:val="FootnoteText"/>
        <w:rPr>
          <w:lang w:val="en-US"/>
        </w:rPr>
      </w:pPr>
      <w:r>
        <w:rPr>
          <w:rStyle w:val="FootnoteReference"/>
        </w:rPr>
        <w:footnoteRef/>
      </w:r>
      <w:r w:rsidRPr="00E25BB4">
        <w:rPr>
          <w:lang w:val="en-US"/>
        </w:rPr>
        <w:t xml:space="preserve"> </w:t>
      </w:r>
      <w:r>
        <w:rPr>
          <w:i/>
          <w:lang w:val="en-US"/>
        </w:rPr>
        <w:t>R.F. Weaver</w:t>
      </w:r>
      <w:r>
        <w:rPr>
          <w:lang w:val="en-US"/>
        </w:rPr>
        <w:t xml:space="preserve">, Molecular Biology, Columbus OH, McGraw Hill Higher Education, 2002, </w:t>
      </w:r>
      <w:r>
        <w:t>σ</w:t>
      </w:r>
      <w:r w:rsidRPr="00E25BB4">
        <w:rPr>
          <w:lang w:val="en-US"/>
        </w:rPr>
        <w:t>. 85.</w:t>
      </w:r>
    </w:p>
  </w:footnote>
  <w:footnote w:id="5">
    <w:p w:rsidR="00742CAF" w:rsidRPr="007C1A64" w:rsidRDefault="00742CAF" w:rsidP="00742CAF">
      <w:pPr>
        <w:pStyle w:val="FootnoteText"/>
        <w:jc w:val="both"/>
      </w:pPr>
      <w:r>
        <w:rPr>
          <w:rStyle w:val="FootnoteReference"/>
        </w:rPr>
        <w:footnoteRef/>
      </w:r>
      <w:r w:rsidRPr="008A332E">
        <w:rPr>
          <w:lang w:val="en-US"/>
        </w:rPr>
        <w:t xml:space="preserve"> </w:t>
      </w:r>
      <w:r>
        <w:t>Αναλυτικά</w:t>
      </w:r>
      <w:r w:rsidRPr="008A332E">
        <w:rPr>
          <w:lang w:val="en-US"/>
        </w:rPr>
        <w:t xml:space="preserve"> </w:t>
      </w:r>
      <w:r>
        <w:t>για</w:t>
      </w:r>
      <w:r w:rsidRPr="008A332E">
        <w:rPr>
          <w:lang w:val="en-US"/>
        </w:rPr>
        <w:t xml:space="preserve"> </w:t>
      </w:r>
      <w:r>
        <w:t>τις</w:t>
      </w:r>
      <w:r w:rsidRPr="008A332E">
        <w:rPr>
          <w:lang w:val="en-US"/>
        </w:rPr>
        <w:t xml:space="preserve"> </w:t>
      </w:r>
      <w:r>
        <w:t>θετικές</w:t>
      </w:r>
      <w:r w:rsidRPr="008A332E">
        <w:rPr>
          <w:lang w:val="en-US"/>
        </w:rPr>
        <w:t xml:space="preserve"> </w:t>
      </w:r>
      <w:r>
        <w:t>επιπτώσεις</w:t>
      </w:r>
      <w:r w:rsidRPr="008A332E">
        <w:rPr>
          <w:lang w:val="en-US"/>
        </w:rPr>
        <w:t xml:space="preserve"> </w:t>
      </w:r>
      <w:r>
        <w:t>της</w:t>
      </w:r>
      <w:r w:rsidRPr="008A332E">
        <w:rPr>
          <w:lang w:val="en-US"/>
        </w:rPr>
        <w:t xml:space="preserve"> </w:t>
      </w:r>
      <w:r>
        <w:t>αγροτικής</w:t>
      </w:r>
      <w:r w:rsidRPr="008A332E">
        <w:rPr>
          <w:lang w:val="en-US"/>
        </w:rPr>
        <w:t xml:space="preserve"> </w:t>
      </w:r>
      <w:r>
        <w:t>βιοτεχνολογίας</w:t>
      </w:r>
      <w:r w:rsidRPr="008A332E">
        <w:rPr>
          <w:lang w:val="en-US"/>
        </w:rPr>
        <w:t xml:space="preserve"> </w:t>
      </w:r>
      <w:r>
        <w:t>γενικότερα</w:t>
      </w:r>
      <w:r w:rsidRPr="008A332E">
        <w:rPr>
          <w:lang w:val="en-US"/>
        </w:rPr>
        <w:t xml:space="preserve">, </w:t>
      </w:r>
      <w:r>
        <w:t>βλ</w:t>
      </w:r>
      <w:r w:rsidRPr="008A332E">
        <w:rPr>
          <w:lang w:val="en-US"/>
        </w:rPr>
        <w:t xml:space="preserve">., </w:t>
      </w:r>
      <w:r>
        <w:rPr>
          <w:i/>
          <w:lang w:val="en-US"/>
        </w:rPr>
        <w:t>Royal</w:t>
      </w:r>
      <w:r w:rsidRPr="008A332E">
        <w:rPr>
          <w:i/>
          <w:lang w:val="en-US"/>
        </w:rPr>
        <w:t xml:space="preserve"> </w:t>
      </w:r>
      <w:r>
        <w:rPr>
          <w:i/>
          <w:lang w:val="en-US"/>
        </w:rPr>
        <w:t>Society</w:t>
      </w:r>
      <w:r w:rsidRPr="008A332E">
        <w:rPr>
          <w:i/>
          <w:lang w:val="en-US"/>
        </w:rPr>
        <w:t xml:space="preserve">, </w:t>
      </w:r>
      <w:r>
        <w:rPr>
          <w:lang w:val="en-US"/>
        </w:rPr>
        <w:t>Reaping</w:t>
      </w:r>
      <w:r w:rsidRPr="008A332E">
        <w:rPr>
          <w:lang w:val="en-US"/>
        </w:rPr>
        <w:t xml:space="preserve"> </w:t>
      </w:r>
      <w:r>
        <w:rPr>
          <w:lang w:val="en-US"/>
        </w:rPr>
        <w:t>the</w:t>
      </w:r>
      <w:r w:rsidRPr="008A332E">
        <w:rPr>
          <w:lang w:val="en-US"/>
        </w:rPr>
        <w:t xml:space="preserve"> </w:t>
      </w:r>
      <w:r>
        <w:rPr>
          <w:lang w:val="en-US"/>
        </w:rPr>
        <w:t>Benefits</w:t>
      </w:r>
      <w:r w:rsidRPr="008A332E">
        <w:rPr>
          <w:lang w:val="en-US"/>
        </w:rPr>
        <w:t xml:space="preserve">: </w:t>
      </w:r>
      <w:r>
        <w:rPr>
          <w:lang w:val="en-US"/>
        </w:rPr>
        <w:t>Science and the Sustainable Intensification of Global Agriculture, London, 2009.</w:t>
      </w:r>
      <w:r w:rsidRPr="00901B54">
        <w:rPr>
          <w:lang w:val="en-US"/>
        </w:rPr>
        <w:t xml:space="preserve"> </w:t>
      </w:r>
      <w:r>
        <w:t>Σε αντίθετη κατεύθυνση κινείται σχετική μελέτη της Παγκόσμιας Οργάνωσης Υγείας. Βλ</w:t>
      </w:r>
      <w:r w:rsidRPr="007C1A64">
        <w:t xml:space="preserve">., </w:t>
      </w:r>
      <w:r>
        <w:rPr>
          <w:i/>
          <w:lang w:val="en-US"/>
        </w:rPr>
        <w:t>WHO</w:t>
      </w:r>
      <w:r w:rsidRPr="007C1A64">
        <w:t xml:space="preserve">, </w:t>
      </w:r>
      <w:r>
        <w:rPr>
          <w:lang w:val="en-US"/>
        </w:rPr>
        <w:t>Modern</w:t>
      </w:r>
      <w:r w:rsidRPr="007C1A64">
        <w:t xml:space="preserve"> </w:t>
      </w:r>
      <w:r>
        <w:rPr>
          <w:lang w:val="en-US"/>
        </w:rPr>
        <w:t>Food</w:t>
      </w:r>
      <w:r w:rsidRPr="007C1A64">
        <w:t xml:space="preserve"> </w:t>
      </w:r>
      <w:r>
        <w:rPr>
          <w:lang w:val="en-US"/>
        </w:rPr>
        <w:t>Biotechnology</w:t>
      </w:r>
      <w:r w:rsidRPr="007C1A64">
        <w:t xml:space="preserve">, </w:t>
      </w:r>
      <w:r>
        <w:rPr>
          <w:lang w:val="en-US"/>
        </w:rPr>
        <w:t>Human</w:t>
      </w:r>
      <w:r w:rsidRPr="007C1A64">
        <w:t xml:space="preserve"> </w:t>
      </w:r>
      <w:r>
        <w:rPr>
          <w:lang w:val="en-US"/>
        </w:rPr>
        <w:t>Health</w:t>
      </w:r>
      <w:r w:rsidRPr="007C1A64">
        <w:t xml:space="preserve"> </w:t>
      </w:r>
      <w:r>
        <w:rPr>
          <w:lang w:val="en-US"/>
        </w:rPr>
        <w:t>and</w:t>
      </w:r>
      <w:r w:rsidRPr="007C1A64">
        <w:t xml:space="preserve"> </w:t>
      </w:r>
      <w:r>
        <w:rPr>
          <w:lang w:val="en-US"/>
        </w:rPr>
        <w:t>Development</w:t>
      </w:r>
      <w:r w:rsidRPr="007C1A64">
        <w:t xml:space="preserve">: </w:t>
      </w:r>
      <w:r>
        <w:rPr>
          <w:lang w:val="en-US"/>
        </w:rPr>
        <w:t>an</w:t>
      </w:r>
      <w:r w:rsidRPr="007C1A64">
        <w:t xml:space="preserve"> </w:t>
      </w:r>
      <w:r>
        <w:rPr>
          <w:lang w:val="en-US"/>
        </w:rPr>
        <w:t>Evidence</w:t>
      </w:r>
      <w:r w:rsidRPr="007C1A64">
        <w:t xml:space="preserve"> </w:t>
      </w:r>
      <w:r>
        <w:rPr>
          <w:lang w:val="en-US"/>
        </w:rPr>
        <w:t>Based</w:t>
      </w:r>
      <w:r w:rsidRPr="007C1A64">
        <w:t xml:space="preserve"> </w:t>
      </w:r>
      <w:r>
        <w:rPr>
          <w:lang w:val="en-US"/>
        </w:rPr>
        <w:t>Study</w:t>
      </w:r>
      <w:r w:rsidRPr="007C1A64">
        <w:t xml:space="preserve">, 2005, </w:t>
      </w:r>
      <w:r>
        <w:t>σ</w:t>
      </w:r>
      <w:r w:rsidRPr="007C1A64">
        <w:t>. 53: «</w:t>
      </w:r>
      <w:r>
        <w:t>Αγρότες</w:t>
      </w:r>
      <w:r w:rsidRPr="007C1A64">
        <w:t xml:space="preserve"> </w:t>
      </w:r>
      <w:r>
        <w:t>αναφέρουν</w:t>
      </w:r>
      <w:r w:rsidRPr="007C1A64">
        <w:t xml:space="preserve"> </w:t>
      </w:r>
      <w:r>
        <w:t>μικρότερες</w:t>
      </w:r>
      <w:r w:rsidRPr="007C1A64">
        <w:t xml:space="preserve"> </w:t>
      </w:r>
      <w:r>
        <w:t>σοδειές</w:t>
      </w:r>
      <w:r w:rsidRPr="007C1A64">
        <w:t xml:space="preserve">, </w:t>
      </w:r>
      <w:r>
        <w:t>συνεχιζόμενη</w:t>
      </w:r>
      <w:r w:rsidRPr="007C1A64">
        <w:t xml:space="preserve"> </w:t>
      </w:r>
      <w:r>
        <w:t>εξάρτηση</w:t>
      </w:r>
      <w:r w:rsidRPr="007C1A64">
        <w:t xml:space="preserve"> </w:t>
      </w:r>
      <w:r>
        <w:t xml:space="preserve">από τα χημικά, μείωση των εξαγωγών και γενικά δραματικά λιγότερα κέρδη σαν συνέπεια της χρήσης βιοτεχνολογίας.» Διαθέσιμο στο: </w:t>
      </w:r>
      <w:hyperlink r:id="rId1" w:history="1">
        <w:r w:rsidRPr="00945857">
          <w:rPr>
            <w:rStyle w:val="Hyperlink"/>
            <w:lang w:val="en-US"/>
          </w:rPr>
          <w:t>http</w:t>
        </w:r>
        <w:r w:rsidRPr="00945857">
          <w:rPr>
            <w:rStyle w:val="Hyperlink"/>
          </w:rPr>
          <w:t>://</w:t>
        </w:r>
        <w:r w:rsidRPr="00945857">
          <w:rPr>
            <w:rStyle w:val="Hyperlink"/>
            <w:lang w:val="en-US"/>
          </w:rPr>
          <w:t>www</w:t>
        </w:r>
        <w:r w:rsidRPr="00945857">
          <w:rPr>
            <w:rStyle w:val="Hyperlink"/>
          </w:rPr>
          <w:t>.</w:t>
        </w:r>
        <w:r w:rsidRPr="00945857">
          <w:rPr>
            <w:rStyle w:val="Hyperlink"/>
            <w:lang w:val="en-US"/>
          </w:rPr>
          <w:t>who</w:t>
        </w:r>
        <w:r w:rsidRPr="00945857">
          <w:rPr>
            <w:rStyle w:val="Hyperlink"/>
          </w:rPr>
          <w:t>.</w:t>
        </w:r>
        <w:r w:rsidRPr="00945857">
          <w:rPr>
            <w:rStyle w:val="Hyperlink"/>
            <w:lang w:val="en-US"/>
          </w:rPr>
          <w:t>int</w:t>
        </w:r>
        <w:r w:rsidRPr="00945857">
          <w:rPr>
            <w:rStyle w:val="Hyperlink"/>
          </w:rPr>
          <w:t>/</w:t>
        </w:r>
        <w:r w:rsidRPr="00945857">
          <w:rPr>
            <w:rStyle w:val="Hyperlink"/>
            <w:lang w:val="en-US"/>
          </w:rPr>
          <w:t>foodsafety</w:t>
        </w:r>
        <w:r w:rsidRPr="00945857">
          <w:rPr>
            <w:rStyle w:val="Hyperlink"/>
          </w:rPr>
          <w:t>/</w:t>
        </w:r>
        <w:r w:rsidRPr="00945857">
          <w:rPr>
            <w:rStyle w:val="Hyperlink"/>
            <w:lang w:val="en-US"/>
          </w:rPr>
          <w:t>publications</w:t>
        </w:r>
        <w:r w:rsidRPr="00945857">
          <w:rPr>
            <w:rStyle w:val="Hyperlink"/>
          </w:rPr>
          <w:t>/</w:t>
        </w:r>
        <w:r w:rsidRPr="00945857">
          <w:rPr>
            <w:rStyle w:val="Hyperlink"/>
            <w:lang w:val="en-US"/>
          </w:rPr>
          <w:t>biotech</w:t>
        </w:r>
        <w:r w:rsidRPr="00945857">
          <w:rPr>
            <w:rStyle w:val="Hyperlink"/>
          </w:rPr>
          <w:t>/</w:t>
        </w:r>
        <w:r w:rsidRPr="00945857">
          <w:rPr>
            <w:rStyle w:val="Hyperlink"/>
            <w:lang w:val="en-US"/>
          </w:rPr>
          <w:t>biothech</w:t>
        </w:r>
        <w:r w:rsidRPr="00945857">
          <w:rPr>
            <w:rStyle w:val="Hyperlink"/>
          </w:rPr>
          <w:t>_</w:t>
        </w:r>
        <w:r w:rsidRPr="00945857">
          <w:rPr>
            <w:rStyle w:val="Hyperlink"/>
            <w:lang w:val="en-US"/>
          </w:rPr>
          <w:t>en</w:t>
        </w:r>
        <w:r w:rsidRPr="007C1A64">
          <w:rPr>
            <w:rStyle w:val="Hyperlink"/>
          </w:rPr>
          <w:t>.</w:t>
        </w:r>
        <w:r w:rsidRPr="00945857">
          <w:rPr>
            <w:rStyle w:val="Hyperlink"/>
            <w:lang w:val="en-US"/>
          </w:rPr>
          <w:t>pdf</w:t>
        </w:r>
      </w:hyperlink>
      <w:r w:rsidRPr="007C1A64">
        <w:t xml:space="preserve"> </w:t>
      </w:r>
    </w:p>
  </w:footnote>
  <w:footnote w:id="6">
    <w:p w:rsidR="00742CAF" w:rsidRPr="005B31B3" w:rsidRDefault="00742CAF" w:rsidP="00742CAF">
      <w:pPr>
        <w:pStyle w:val="FootnoteText"/>
        <w:jc w:val="both"/>
        <w:rPr>
          <w:lang w:val="en-GB"/>
        </w:rPr>
      </w:pPr>
      <w:r w:rsidRPr="005B31B3">
        <w:rPr>
          <w:rStyle w:val="FootnoteReference"/>
        </w:rPr>
        <w:footnoteRef/>
      </w:r>
      <w:r w:rsidRPr="005B31B3">
        <w:rPr>
          <w:lang w:val="en-GB"/>
        </w:rPr>
        <w:t xml:space="preserve"> </w:t>
      </w:r>
      <w:r w:rsidRPr="005B31B3">
        <w:rPr>
          <w:lang w:val="en-US"/>
        </w:rPr>
        <w:t xml:space="preserve">Βλ., </w:t>
      </w:r>
      <w:r w:rsidRPr="005B31B3">
        <w:t>αντί</w:t>
      </w:r>
      <w:r w:rsidRPr="005B31B3">
        <w:rPr>
          <w:lang w:val="en-GB"/>
        </w:rPr>
        <w:t xml:space="preserve"> </w:t>
      </w:r>
      <w:r w:rsidRPr="005B31B3">
        <w:t>πολλών</w:t>
      </w:r>
      <w:r w:rsidRPr="005B31B3">
        <w:rPr>
          <w:lang w:val="en-GB"/>
        </w:rPr>
        <w:t xml:space="preserve">, </w:t>
      </w:r>
      <w:r w:rsidRPr="005B31B3">
        <w:rPr>
          <w:i/>
          <w:lang w:val="en-US"/>
        </w:rPr>
        <w:t>G.N. Mandel</w:t>
      </w:r>
      <w:r w:rsidRPr="005B31B3">
        <w:rPr>
          <w:lang w:val="en-US"/>
        </w:rPr>
        <w:t xml:space="preserve">, “Gaps, Inexperience, Inconsistencies, and Overlaps: Crisis in the Regulation of Genetically Modified Plants and Animals”, William </w:t>
      </w:r>
      <w:r w:rsidRPr="00D35233">
        <w:rPr>
          <w:lang w:val="en-US"/>
        </w:rPr>
        <w:t>&amp;</w:t>
      </w:r>
      <w:r w:rsidRPr="005B31B3">
        <w:rPr>
          <w:lang w:val="en-US"/>
        </w:rPr>
        <w:t xml:space="preserve"> Mary Law Review, Vol. 45, 2004, </w:t>
      </w:r>
      <w:r w:rsidRPr="005B31B3">
        <w:t>σ</w:t>
      </w:r>
      <w:r w:rsidRPr="005B31B3">
        <w:rPr>
          <w:lang w:val="en-GB"/>
        </w:rPr>
        <w:t>. 2171.</w:t>
      </w:r>
    </w:p>
  </w:footnote>
  <w:footnote w:id="7">
    <w:p w:rsidR="00742CAF" w:rsidRPr="00E643CA" w:rsidRDefault="00742CAF" w:rsidP="00742CAF">
      <w:pPr>
        <w:pStyle w:val="FootnoteText"/>
        <w:jc w:val="both"/>
      </w:pPr>
      <w:r>
        <w:rPr>
          <w:rStyle w:val="FootnoteReference"/>
        </w:rPr>
        <w:footnoteRef/>
      </w:r>
      <w:r w:rsidRPr="00E643CA">
        <w:t xml:space="preserve"> </w:t>
      </w:r>
      <w:r>
        <w:rPr>
          <w:i/>
          <w:lang w:val="en-US"/>
        </w:rPr>
        <w:t>D</w:t>
      </w:r>
      <w:r w:rsidRPr="00E643CA">
        <w:rPr>
          <w:i/>
        </w:rPr>
        <w:t>.</w:t>
      </w:r>
      <w:r>
        <w:rPr>
          <w:i/>
          <w:lang w:val="en-US"/>
        </w:rPr>
        <w:t>A</w:t>
      </w:r>
      <w:r w:rsidRPr="00E643CA">
        <w:rPr>
          <w:i/>
        </w:rPr>
        <w:t xml:space="preserve">. </w:t>
      </w:r>
      <w:r>
        <w:rPr>
          <w:i/>
          <w:lang w:val="en-US"/>
        </w:rPr>
        <w:t>Andow</w:t>
      </w:r>
      <w:r w:rsidRPr="00E643CA">
        <w:rPr>
          <w:i/>
        </w:rPr>
        <w:t xml:space="preserve">, </w:t>
      </w:r>
      <w:r>
        <w:rPr>
          <w:i/>
          <w:lang w:val="en-US"/>
        </w:rPr>
        <w:t>C</w:t>
      </w:r>
      <w:r w:rsidRPr="00E643CA">
        <w:rPr>
          <w:i/>
        </w:rPr>
        <w:t xml:space="preserve">. </w:t>
      </w:r>
      <w:r>
        <w:rPr>
          <w:i/>
          <w:lang w:val="en-US"/>
        </w:rPr>
        <w:t>Zwahlen</w:t>
      </w:r>
      <w:r w:rsidRPr="00E643CA">
        <w:t>, “</w:t>
      </w:r>
      <w:r>
        <w:rPr>
          <w:lang w:val="en-US"/>
        </w:rPr>
        <w:t>Assessing</w:t>
      </w:r>
      <w:r w:rsidRPr="00E643CA">
        <w:t xml:space="preserve"> </w:t>
      </w:r>
      <w:r>
        <w:rPr>
          <w:lang w:val="en-US"/>
        </w:rPr>
        <w:t>Environmental</w:t>
      </w:r>
      <w:r w:rsidRPr="00E643CA">
        <w:t xml:space="preserve"> </w:t>
      </w:r>
      <w:r>
        <w:rPr>
          <w:lang w:val="en-US"/>
        </w:rPr>
        <w:t>Risks</w:t>
      </w:r>
      <w:r w:rsidRPr="00E643CA">
        <w:t xml:space="preserve"> </w:t>
      </w:r>
      <w:r>
        <w:rPr>
          <w:lang w:val="en-US"/>
        </w:rPr>
        <w:t>of</w:t>
      </w:r>
      <w:r w:rsidRPr="00E643CA">
        <w:t xml:space="preserve"> </w:t>
      </w:r>
      <w:r>
        <w:rPr>
          <w:lang w:val="en-US"/>
        </w:rPr>
        <w:t>Transgenic</w:t>
      </w:r>
      <w:r w:rsidRPr="00E643CA">
        <w:t xml:space="preserve"> </w:t>
      </w:r>
      <w:r>
        <w:rPr>
          <w:lang w:val="en-US"/>
        </w:rPr>
        <w:t>Plants</w:t>
      </w:r>
      <w:r w:rsidRPr="00E643CA">
        <w:t xml:space="preserve">”, </w:t>
      </w:r>
      <w:r>
        <w:rPr>
          <w:lang w:val="en-US"/>
        </w:rPr>
        <w:t>Ecology</w:t>
      </w:r>
      <w:r w:rsidRPr="00E643CA">
        <w:t xml:space="preserve"> </w:t>
      </w:r>
      <w:r>
        <w:rPr>
          <w:lang w:val="en-US"/>
        </w:rPr>
        <w:t>Letters</w:t>
      </w:r>
      <w:r w:rsidRPr="00E643CA">
        <w:t xml:space="preserve">, </w:t>
      </w:r>
      <w:r>
        <w:rPr>
          <w:lang w:val="en-US"/>
        </w:rPr>
        <w:t>Vol</w:t>
      </w:r>
      <w:r w:rsidRPr="00E643CA">
        <w:t>. 9,</w:t>
      </w:r>
      <w:r>
        <w:t xml:space="preserve"> 2006,</w:t>
      </w:r>
      <w:r w:rsidRPr="00E643CA">
        <w:t xml:space="preserve"> </w:t>
      </w:r>
      <w:r>
        <w:t>σ</w:t>
      </w:r>
      <w:r w:rsidRPr="00E643CA">
        <w:t>. 196 (</w:t>
      </w:r>
      <w:r>
        <w:t>οι</w:t>
      </w:r>
      <w:r w:rsidRPr="00E643CA">
        <w:t xml:space="preserve"> </w:t>
      </w:r>
      <w:r>
        <w:t>οποίοι</w:t>
      </w:r>
      <w:r w:rsidRPr="00E643CA">
        <w:t xml:space="preserve"> </w:t>
      </w:r>
      <w:r>
        <w:t>τονίζουν</w:t>
      </w:r>
      <w:r w:rsidRPr="00E643CA">
        <w:t xml:space="preserve"> </w:t>
      </w:r>
      <w:r>
        <w:t>ότι</w:t>
      </w:r>
      <w:r w:rsidRPr="00E643CA">
        <w:t xml:space="preserve"> </w:t>
      </w:r>
      <w:r>
        <w:t>η</w:t>
      </w:r>
      <w:r w:rsidRPr="00E643CA">
        <w:t xml:space="preserve"> </w:t>
      </w:r>
      <w:r>
        <w:t>εισαγωγή</w:t>
      </w:r>
      <w:r w:rsidRPr="00E643CA">
        <w:t xml:space="preserve"> </w:t>
      </w:r>
      <w:r>
        <w:t>ξένων γονιδίων μπορεί να οδηγήσει σε εκούσιες ή ακούσιες αλλαγές της μοριακής λειτουργίας έτσι ώστε να επηρεαστεί η σχέση του φυτού με το έδαφος και τους οργανισμούς που το περιβάλλουν και να επέλθουν με τον τρόπο αυτό ενδεχομένως αρνητικές περιβαλλοντικές επιπτώσεις.)</w:t>
      </w:r>
    </w:p>
  </w:footnote>
  <w:footnote w:id="8">
    <w:p w:rsidR="00742CAF" w:rsidRPr="00957BE0" w:rsidRDefault="00742CAF" w:rsidP="00742CAF">
      <w:pPr>
        <w:pStyle w:val="FootnoteText"/>
        <w:jc w:val="both"/>
      </w:pPr>
      <w:r>
        <w:rPr>
          <w:rStyle w:val="FootnoteReference"/>
        </w:rPr>
        <w:footnoteRef/>
      </w:r>
      <w:r w:rsidRPr="00531C8B">
        <w:rPr>
          <w:lang w:val="en-US"/>
        </w:rPr>
        <w:t xml:space="preserve"> </w:t>
      </w:r>
      <w:r>
        <w:rPr>
          <w:i/>
          <w:lang w:val="en-US"/>
        </w:rPr>
        <w:t xml:space="preserve">C. James, </w:t>
      </w:r>
      <w:r w:rsidRPr="00EC775F">
        <w:rPr>
          <w:i/>
          <w:lang w:val="en-US"/>
        </w:rPr>
        <w:t>International</w:t>
      </w:r>
      <w:r>
        <w:rPr>
          <w:lang w:val="en-US"/>
        </w:rPr>
        <w:t xml:space="preserve"> </w:t>
      </w:r>
      <w:r w:rsidRPr="00EC775F">
        <w:rPr>
          <w:i/>
          <w:lang w:val="en-US"/>
        </w:rPr>
        <w:t>Service for the Acqu</w:t>
      </w:r>
      <w:r>
        <w:rPr>
          <w:i/>
          <w:lang w:val="en-US"/>
        </w:rPr>
        <w:t>i</w:t>
      </w:r>
      <w:r w:rsidRPr="00EC775F">
        <w:rPr>
          <w:i/>
          <w:lang w:val="en-US"/>
        </w:rPr>
        <w:t>sition</w:t>
      </w:r>
      <w:r>
        <w:rPr>
          <w:lang w:val="en-US"/>
        </w:rPr>
        <w:t xml:space="preserve"> </w:t>
      </w:r>
      <w:r w:rsidRPr="00EC775F">
        <w:rPr>
          <w:lang w:val="en-US"/>
        </w:rPr>
        <w:t>of</w:t>
      </w:r>
      <w:r>
        <w:rPr>
          <w:i/>
          <w:lang w:val="en-US"/>
        </w:rPr>
        <w:t xml:space="preserve"> Agri-Biotech Applications, ISAA Brief 39-2008</w:t>
      </w:r>
      <w:r>
        <w:rPr>
          <w:lang w:val="en-US"/>
        </w:rPr>
        <w:t xml:space="preserve">: </w:t>
      </w:r>
      <w:r w:rsidRPr="008066D1">
        <w:rPr>
          <w:i/>
          <w:lang w:val="en-US"/>
        </w:rPr>
        <w:t>Executive Summary</w:t>
      </w:r>
      <w:r>
        <w:rPr>
          <w:lang w:val="en-US"/>
        </w:rPr>
        <w:t xml:space="preserve">, Global Status of Commercialized Bioteh/GM Crops: 2008 The First Thirteen Years. </w:t>
      </w:r>
      <w:r>
        <w:t xml:space="preserve">Διαθέσιμο στο: </w:t>
      </w:r>
    </w:p>
    <w:p w:rsidR="00742CAF" w:rsidRPr="00957BE0" w:rsidRDefault="003522D9" w:rsidP="00742CAF">
      <w:pPr>
        <w:pStyle w:val="FootnoteText"/>
        <w:jc w:val="both"/>
      </w:pPr>
      <w:hyperlink r:id="rId2" w:history="1">
        <w:r w:rsidR="00742CAF" w:rsidRPr="00077FB3">
          <w:rPr>
            <w:rStyle w:val="Hyperlink"/>
            <w:lang w:val="en-US"/>
          </w:rPr>
          <w:t>http</w:t>
        </w:r>
        <w:r w:rsidR="00742CAF" w:rsidRPr="00957BE0">
          <w:rPr>
            <w:rStyle w:val="Hyperlink"/>
          </w:rPr>
          <w:t>://</w:t>
        </w:r>
        <w:r w:rsidR="00742CAF" w:rsidRPr="00077FB3">
          <w:rPr>
            <w:rStyle w:val="Hyperlink"/>
            <w:lang w:val="en-US"/>
          </w:rPr>
          <w:t>www</w:t>
        </w:r>
        <w:r w:rsidR="00742CAF" w:rsidRPr="00957BE0">
          <w:rPr>
            <w:rStyle w:val="Hyperlink"/>
          </w:rPr>
          <w:t>.</w:t>
        </w:r>
        <w:r w:rsidR="00742CAF" w:rsidRPr="00077FB3">
          <w:rPr>
            <w:rStyle w:val="Hyperlink"/>
            <w:lang w:val="en-US"/>
          </w:rPr>
          <w:t>isaaa</w:t>
        </w:r>
        <w:r w:rsidR="00742CAF" w:rsidRPr="00957BE0">
          <w:rPr>
            <w:rStyle w:val="Hyperlink"/>
          </w:rPr>
          <w:t>.</w:t>
        </w:r>
        <w:r w:rsidR="00742CAF" w:rsidRPr="00077FB3">
          <w:rPr>
            <w:rStyle w:val="Hyperlink"/>
            <w:lang w:val="en-US"/>
          </w:rPr>
          <w:t>org</w:t>
        </w:r>
        <w:r w:rsidR="00742CAF" w:rsidRPr="00957BE0">
          <w:rPr>
            <w:rStyle w:val="Hyperlink"/>
          </w:rPr>
          <w:t>/</w:t>
        </w:r>
        <w:r w:rsidR="00742CAF" w:rsidRPr="00077FB3">
          <w:rPr>
            <w:rStyle w:val="Hyperlink"/>
            <w:lang w:val="en-US"/>
          </w:rPr>
          <w:t>resources</w:t>
        </w:r>
        <w:r w:rsidR="00742CAF" w:rsidRPr="00957BE0">
          <w:rPr>
            <w:rStyle w:val="Hyperlink"/>
          </w:rPr>
          <w:t>/</w:t>
        </w:r>
        <w:r w:rsidR="00742CAF" w:rsidRPr="00077FB3">
          <w:rPr>
            <w:rStyle w:val="Hyperlink"/>
            <w:lang w:val="en-US"/>
          </w:rPr>
          <w:t>publications</w:t>
        </w:r>
        <w:r w:rsidR="00742CAF" w:rsidRPr="00957BE0">
          <w:rPr>
            <w:rStyle w:val="Hyperlink"/>
          </w:rPr>
          <w:t>/</w:t>
        </w:r>
        <w:r w:rsidR="00742CAF" w:rsidRPr="00077FB3">
          <w:rPr>
            <w:rStyle w:val="Hyperlink"/>
            <w:lang w:val="en-US"/>
          </w:rPr>
          <w:t>briefs</w:t>
        </w:r>
        <w:r w:rsidR="00742CAF" w:rsidRPr="00957BE0">
          <w:rPr>
            <w:rStyle w:val="Hyperlink"/>
          </w:rPr>
          <w:t>/39/</w:t>
        </w:r>
        <w:r w:rsidR="00742CAF" w:rsidRPr="00077FB3">
          <w:rPr>
            <w:rStyle w:val="Hyperlink"/>
            <w:lang w:val="en-US"/>
          </w:rPr>
          <w:t>executivesummary</w:t>
        </w:r>
        <w:r w:rsidR="00742CAF" w:rsidRPr="00957BE0">
          <w:rPr>
            <w:rStyle w:val="Hyperlink"/>
          </w:rPr>
          <w:t>/</w:t>
        </w:r>
        <w:r w:rsidR="00742CAF" w:rsidRPr="00077FB3">
          <w:rPr>
            <w:rStyle w:val="Hyperlink"/>
            <w:lang w:val="en-US"/>
          </w:rPr>
          <w:t>default</w:t>
        </w:r>
        <w:r w:rsidR="00742CAF" w:rsidRPr="00957BE0">
          <w:rPr>
            <w:rStyle w:val="Hyperlink"/>
          </w:rPr>
          <w:t>.</w:t>
        </w:r>
        <w:r w:rsidR="00742CAF" w:rsidRPr="00077FB3">
          <w:rPr>
            <w:rStyle w:val="Hyperlink"/>
            <w:lang w:val="en-US"/>
          </w:rPr>
          <w:t>html</w:t>
        </w:r>
      </w:hyperlink>
    </w:p>
  </w:footnote>
  <w:footnote w:id="9">
    <w:p w:rsidR="00742CAF" w:rsidRPr="00EC775F" w:rsidRDefault="00742CAF" w:rsidP="00742CAF">
      <w:pPr>
        <w:pStyle w:val="FootnoteText"/>
        <w:jc w:val="both"/>
        <w:rPr>
          <w:i/>
        </w:rPr>
      </w:pPr>
      <w:r>
        <w:rPr>
          <w:rStyle w:val="FootnoteReference"/>
        </w:rPr>
        <w:footnoteRef/>
      </w:r>
      <w:r w:rsidRPr="00EC775F">
        <w:t xml:space="preserve"> </w:t>
      </w:r>
      <w:r>
        <w:t xml:space="preserve">Τα φυτά </w:t>
      </w:r>
      <w:r>
        <w:rPr>
          <w:lang w:val="en-US"/>
        </w:rPr>
        <w:t>bt</w:t>
      </w:r>
      <w:r w:rsidRPr="00EC775F">
        <w:t xml:space="preserve"> </w:t>
      </w:r>
      <w:r>
        <w:t xml:space="preserve">έχουν υποστεί γενετική τροποποίηση για να παράγουν ένα φυσικό εντομοκτόνο το οποίο προέρχεται από το βακτήριο </w:t>
      </w:r>
      <w:r>
        <w:rPr>
          <w:lang w:val="en-US"/>
        </w:rPr>
        <w:t>bt</w:t>
      </w:r>
      <w:r>
        <w:t xml:space="preserve">, </w:t>
      </w:r>
      <w:r>
        <w:rPr>
          <w:i/>
          <w:lang w:val="en-US"/>
        </w:rPr>
        <w:t>bacillus</w:t>
      </w:r>
      <w:r w:rsidRPr="00EC775F">
        <w:rPr>
          <w:i/>
        </w:rPr>
        <w:t xml:space="preserve"> </w:t>
      </w:r>
      <w:r>
        <w:rPr>
          <w:i/>
          <w:lang w:val="en-US"/>
        </w:rPr>
        <w:t>thuringiestis</w:t>
      </w:r>
      <w:r w:rsidRPr="00EC775F">
        <w:rPr>
          <w:i/>
        </w:rPr>
        <w:t>.</w:t>
      </w:r>
    </w:p>
  </w:footnote>
  <w:footnote w:id="10">
    <w:p w:rsidR="00742CAF" w:rsidRPr="000A4EC2" w:rsidRDefault="00742CAF" w:rsidP="00742CAF">
      <w:pPr>
        <w:pStyle w:val="FootnoteText"/>
        <w:jc w:val="both"/>
      </w:pPr>
      <w:r>
        <w:rPr>
          <w:rStyle w:val="FootnoteReference"/>
        </w:rPr>
        <w:footnoteRef/>
      </w:r>
      <w:r w:rsidRPr="000A4EC2">
        <w:t xml:space="preserve"> </w:t>
      </w:r>
      <w:r>
        <w:rPr>
          <w:i/>
          <w:lang w:val="en-US"/>
        </w:rPr>
        <w:t>C</w:t>
      </w:r>
      <w:r w:rsidRPr="000A4EC2">
        <w:rPr>
          <w:i/>
        </w:rPr>
        <w:t xml:space="preserve">. </w:t>
      </w:r>
      <w:r>
        <w:rPr>
          <w:i/>
          <w:lang w:val="en-US"/>
        </w:rPr>
        <w:t>James</w:t>
      </w:r>
      <w:r w:rsidRPr="000A4EC2">
        <w:rPr>
          <w:i/>
        </w:rPr>
        <w:t>,</w:t>
      </w:r>
      <w:r>
        <w:t>ό.π.</w:t>
      </w:r>
      <w:r w:rsidRPr="000A4EC2">
        <w:t xml:space="preserve">    </w:t>
      </w:r>
    </w:p>
  </w:footnote>
  <w:footnote w:id="11">
    <w:p w:rsidR="00742CAF" w:rsidRPr="00957BE0" w:rsidRDefault="00742CAF" w:rsidP="00742CAF">
      <w:pPr>
        <w:pStyle w:val="FootnoteText"/>
        <w:jc w:val="both"/>
      </w:pPr>
      <w:r>
        <w:rPr>
          <w:rStyle w:val="FootnoteReference"/>
        </w:rPr>
        <w:footnoteRef/>
      </w:r>
      <w:r>
        <w:t xml:space="preserve"> Παρά το ότι το καλαμπόκι ΜΟΝ810 έλαβε νόμιμη άδεια για καλλιέργεια, έξι χώρες το έχουν απαγορεύσει στην επικράτειά τους (Αυστρία, Γαλλία, Γερμανία, Ελλάδα, Ουγγαρία και Λουξεμβούργο).</w:t>
      </w:r>
    </w:p>
  </w:footnote>
  <w:footnote w:id="12">
    <w:p w:rsidR="00742CAF" w:rsidRPr="00FA0C6E" w:rsidRDefault="00742CAF" w:rsidP="00742CAF">
      <w:pPr>
        <w:pStyle w:val="FootnoteText"/>
        <w:jc w:val="both"/>
      </w:pPr>
      <w:r>
        <w:rPr>
          <w:rStyle w:val="FootnoteReference"/>
        </w:rPr>
        <w:footnoteRef/>
      </w:r>
      <w:r w:rsidRPr="00FA0C6E">
        <w:t xml:space="preserve"> </w:t>
      </w:r>
      <w:r>
        <w:t>Απόφαση της Επιτροπής της 2</w:t>
      </w:r>
      <w:r>
        <w:rPr>
          <w:vertAlign w:val="superscript"/>
        </w:rPr>
        <w:t>ας</w:t>
      </w:r>
      <w:r>
        <w:t xml:space="preserve"> Μαρτίου 2010 σχετικά με τη διάθεση στην αγορά, σύμφωνα με την Οδηγία 2001/18/ΕΚ του Ευρωπαϊκού Κοινοβουλίου και του Συμβουλίου προϊόντος γεωμήλου (</w:t>
      </w:r>
      <w:r>
        <w:rPr>
          <w:lang w:val="en-US"/>
        </w:rPr>
        <w:t>Solanum</w:t>
      </w:r>
      <w:r w:rsidRPr="00FA0C6E">
        <w:t xml:space="preserve"> </w:t>
      </w:r>
      <w:r>
        <w:rPr>
          <w:lang w:val="en-US"/>
        </w:rPr>
        <w:t>Tuberosum</w:t>
      </w:r>
      <w:r w:rsidRPr="00FA0C6E">
        <w:t xml:space="preserve"> </w:t>
      </w:r>
      <w:r>
        <w:rPr>
          <w:lang w:val="en-US"/>
        </w:rPr>
        <w:t>L</w:t>
      </w:r>
      <w:r w:rsidRPr="00FA0C6E">
        <w:t xml:space="preserve">. </w:t>
      </w:r>
      <w:r>
        <w:t xml:space="preserve">Σειρά ΕΗ92-527-1), ΕΕ  </w:t>
      </w:r>
      <w:r>
        <w:rPr>
          <w:lang w:val="en-US"/>
        </w:rPr>
        <w:t>L</w:t>
      </w:r>
      <w:r w:rsidRPr="00FA0C6E">
        <w:t xml:space="preserve"> 53/11 </w:t>
      </w:r>
      <w:r>
        <w:t>της 4.3.2010.</w:t>
      </w:r>
    </w:p>
  </w:footnote>
  <w:footnote w:id="13">
    <w:p w:rsidR="00742CAF" w:rsidRPr="005528C8" w:rsidRDefault="00742CAF" w:rsidP="00742CAF">
      <w:pPr>
        <w:pStyle w:val="FootnoteText"/>
      </w:pPr>
      <w:r>
        <w:rPr>
          <w:rStyle w:val="FootnoteReference"/>
        </w:rPr>
        <w:footnoteRef/>
      </w:r>
      <w:r w:rsidRPr="005528C8">
        <w:t xml:space="preserve"> </w:t>
      </w:r>
      <w:hyperlink r:id="rId3" w:history="1">
        <w:r w:rsidRPr="00077FB3">
          <w:rPr>
            <w:rStyle w:val="Hyperlink"/>
            <w:lang w:val="en-US"/>
          </w:rPr>
          <w:t>http</w:t>
        </w:r>
        <w:r w:rsidRPr="005528C8">
          <w:rPr>
            <w:rStyle w:val="Hyperlink"/>
          </w:rPr>
          <w:t>://</w:t>
        </w:r>
        <w:r w:rsidRPr="00077FB3">
          <w:rPr>
            <w:rStyle w:val="Hyperlink"/>
            <w:lang w:val="en-US"/>
          </w:rPr>
          <w:t>www</w:t>
        </w:r>
        <w:r w:rsidRPr="005528C8">
          <w:rPr>
            <w:rStyle w:val="Hyperlink"/>
          </w:rPr>
          <w:t>.</w:t>
        </w:r>
        <w:r w:rsidRPr="00077FB3">
          <w:rPr>
            <w:rStyle w:val="Hyperlink"/>
            <w:lang w:val="en-US"/>
          </w:rPr>
          <w:t>europeanvoice</w:t>
        </w:r>
        <w:r w:rsidRPr="005528C8">
          <w:rPr>
            <w:rStyle w:val="Hyperlink"/>
          </w:rPr>
          <w:t>.</w:t>
        </w:r>
        <w:r w:rsidRPr="00077FB3">
          <w:rPr>
            <w:rStyle w:val="Hyperlink"/>
            <w:lang w:val="en-US"/>
          </w:rPr>
          <w:t>com</w:t>
        </w:r>
        <w:r w:rsidRPr="005528C8">
          <w:rPr>
            <w:rStyle w:val="Hyperlink"/>
          </w:rPr>
          <w:t>/</w:t>
        </w:r>
        <w:r w:rsidRPr="00077FB3">
          <w:rPr>
            <w:rStyle w:val="Hyperlink"/>
            <w:lang w:val="en-US"/>
          </w:rPr>
          <w:t>article</w:t>
        </w:r>
        <w:r w:rsidRPr="005528C8">
          <w:rPr>
            <w:rStyle w:val="Hyperlink"/>
          </w:rPr>
          <w:t>/2008/09/</w:t>
        </w:r>
        <w:r w:rsidRPr="00077FB3">
          <w:rPr>
            <w:rStyle w:val="Hyperlink"/>
            <w:lang w:val="en-US"/>
          </w:rPr>
          <w:t>drop</w:t>
        </w:r>
        <w:r w:rsidRPr="005528C8">
          <w:rPr>
            <w:rStyle w:val="Hyperlink"/>
          </w:rPr>
          <w:t>-</w:t>
        </w:r>
        <w:r w:rsidRPr="00077FB3">
          <w:rPr>
            <w:rStyle w:val="Hyperlink"/>
            <w:lang w:val="en-US"/>
          </w:rPr>
          <w:t>in</w:t>
        </w:r>
        <w:r w:rsidRPr="005528C8">
          <w:rPr>
            <w:rStyle w:val="Hyperlink"/>
          </w:rPr>
          <w:t>-</w:t>
        </w:r>
        <w:r w:rsidRPr="00077FB3">
          <w:rPr>
            <w:rStyle w:val="Hyperlink"/>
            <w:lang w:val="en-US"/>
          </w:rPr>
          <w:t>genetically</w:t>
        </w:r>
        <w:r w:rsidRPr="005528C8">
          <w:rPr>
            <w:rStyle w:val="Hyperlink"/>
          </w:rPr>
          <w:t>-</w:t>
        </w:r>
        <w:r w:rsidRPr="00077FB3">
          <w:rPr>
            <w:rStyle w:val="Hyperlink"/>
            <w:lang w:val="en-US"/>
          </w:rPr>
          <w:t>modifiedcrops</w:t>
        </w:r>
        <w:r w:rsidRPr="005528C8">
          <w:rPr>
            <w:rStyle w:val="Hyperlink"/>
          </w:rPr>
          <w:t>-</w:t>
        </w:r>
        <w:r w:rsidRPr="00077FB3">
          <w:rPr>
            <w:rStyle w:val="Hyperlink"/>
            <w:lang w:val="en-US"/>
          </w:rPr>
          <w:t>grown</w:t>
        </w:r>
        <w:r w:rsidRPr="005528C8">
          <w:rPr>
            <w:rStyle w:val="Hyperlink"/>
          </w:rPr>
          <w:t>-</w:t>
        </w:r>
        <w:r w:rsidRPr="00077FB3">
          <w:rPr>
            <w:rStyle w:val="Hyperlink"/>
            <w:lang w:val="en-US"/>
          </w:rPr>
          <w:t>in</w:t>
        </w:r>
        <w:r w:rsidRPr="005528C8">
          <w:rPr>
            <w:rStyle w:val="Hyperlink"/>
          </w:rPr>
          <w:t>-</w:t>
        </w:r>
        <w:r w:rsidRPr="00077FB3">
          <w:rPr>
            <w:rStyle w:val="Hyperlink"/>
            <w:lang w:val="en-US"/>
          </w:rPr>
          <w:t>eu</w:t>
        </w:r>
        <w:r w:rsidRPr="005528C8">
          <w:rPr>
            <w:rStyle w:val="Hyperlink"/>
          </w:rPr>
          <w:t>/62491.</w:t>
        </w:r>
        <w:r w:rsidRPr="00077FB3">
          <w:rPr>
            <w:rStyle w:val="Hyperlink"/>
            <w:lang w:val="en-US"/>
          </w:rPr>
          <w:t>aspx</w:t>
        </w:r>
      </w:hyperlink>
      <w:r w:rsidRPr="005528C8">
        <w:t xml:space="preserve">  </w:t>
      </w:r>
    </w:p>
  </w:footnote>
  <w:footnote w:id="14">
    <w:p w:rsidR="00742CAF" w:rsidRPr="009B66D3" w:rsidRDefault="00742CAF" w:rsidP="00742CAF">
      <w:pPr>
        <w:pStyle w:val="FootnoteText"/>
        <w:rPr>
          <w:lang w:val="en-US"/>
        </w:rPr>
      </w:pPr>
      <w:r>
        <w:rPr>
          <w:rStyle w:val="FootnoteReference"/>
        </w:rPr>
        <w:footnoteRef/>
      </w:r>
      <w:r w:rsidRPr="009B66D3">
        <w:rPr>
          <w:lang w:val="en-US"/>
        </w:rPr>
        <w:t xml:space="preserve"> </w:t>
      </w:r>
      <w:r>
        <w:rPr>
          <w:i/>
          <w:lang w:val="en-US"/>
        </w:rPr>
        <w:t xml:space="preserve">C. James, </w:t>
      </w:r>
      <w:r w:rsidRPr="00EC775F">
        <w:rPr>
          <w:i/>
          <w:lang w:val="en-US"/>
        </w:rPr>
        <w:t>International</w:t>
      </w:r>
      <w:r>
        <w:rPr>
          <w:lang w:val="en-US"/>
        </w:rPr>
        <w:t xml:space="preserve"> </w:t>
      </w:r>
      <w:r w:rsidRPr="00EC775F">
        <w:rPr>
          <w:i/>
          <w:lang w:val="en-US"/>
        </w:rPr>
        <w:t>Service for the Acqu</w:t>
      </w:r>
      <w:r>
        <w:rPr>
          <w:i/>
          <w:lang w:val="en-US"/>
        </w:rPr>
        <w:t>i</w:t>
      </w:r>
      <w:r w:rsidRPr="00EC775F">
        <w:rPr>
          <w:i/>
          <w:lang w:val="en-US"/>
        </w:rPr>
        <w:t>sition</w:t>
      </w:r>
      <w:r>
        <w:rPr>
          <w:lang w:val="en-US"/>
        </w:rPr>
        <w:t xml:space="preserve"> </w:t>
      </w:r>
      <w:r w:rsidRPr="00EC775F">
        <w:rPr>
          <w:lang w:val="en-US"/>
        </w:rPr>
        <w:t>of</w:t>
      </w:r>
      <w:r>
        <w:rPr>
          <w:i/>
          <w:lang w:val="en-US"/>
        </w:rPr>
        <w:t xml:space="preserve"> Agri-Biotech Applications,</w:t>
      </w:r>
      <w:r w:rsidRPr="009B66D3">
        <w:rPr>
          <w:i/>
          <w:lang w:val="en-US"/>
        </w:rPr>
        <w:t xml:space="preserve"> </w:t>
      </w:r>
      <w:r>
        <w:t>ό</w:t>
      </w:r>
      <w:r w:rsidRPr="009B66D3">
        <w:rPr>
          <w:lang w:val="en-US"/>
        </w:rPr>
        <w:t>.</w:t>
      </w:r>
      <w:r>
        <w:t>π</w:t>
      </w:r>
      <w:r w:rsidRPr="009B66D3">
        <w:rPr>
          <w:lang w:val="en-US"/>
        </w:rPr>
        <w:t xml:space="preserve">., </w:t>
      </w:r>
      <w:r>
        <w:t>σ</w:t>
      </w:r>
      <w:r w:rsidRPr="009B66D3">
        <w:rPr>
          <w:lang w:val="en-US"/>
        </w:rPr>
        <w:t>. 10-11.</w:t>
      </w:r>
    </w:p>
  </w:footnote>
  <w:footnote w:id="15">
    <w:p w:rsidR="00742CAF" w:rsidRPr="00656E99" w:rsidRDefault="00742CAF" w:rsidP="00742CAF">
      <w:pPr>
        <w:pStyle w:val="FootnoteText"/>
        <w:jc w:val="both"/>
        <w:rPr>
          <w:lang w:val="en-US"/>
        </w:rPr>
      </w:pPr>
      <w:r>
        <w:rPr>
          <w:rStyle w:val="FootnoteReference"/>
        </w:rPr>
        <w:footnoteRef/>
      </w:r>
      <w:r w:rsidRPr="00656E99">
        <w:rPr>
          <w:lang w:val="en-US"/>
        </w:rPr>
        <w:t xml:space="preserve"> </w:t>
      </w:r>
      <w:r w:rsidRPr="00E53A3C">
        <w:rPr>
          <w:i/>
          <w:lang w:val="en-US"/>
        </w:rPr>
        <w:t>European Commission</w:t>
      </w:r>
      <w:r>
        <w:rPr>
          <w:lang w:val="en-US"/>
        </w:rPr>
        <w:t>, Communication from the Commission to the Council, the European Parliament, the European Economic and Social Committee and the Committee of the Regions on the Mid Term Review of the Strategy on Life Sciences and Biotechnology  COM (2007) 175 final.</w:t>
      </w:r>
    </w:p>
  </w:footnote>
  <w:footnote w:id="16">
    <w:p w:rsidR="00742CAF" w:rsidRPr="00957BE0" w:rsidRDefault="00742CAF" w:rsidP="00742CAF">
      <w:pPr>
        <w:pStyle w:val="FootnoteText"/>
        <w:jc w:val="both"/>
      </w:pPr>
      <w:r>
        <w:rPr>
          <w:rStyle w:val="FootnoteReference"/>
        </w:rPr>
        <w:footnoteRef/>
      </w:r>
      <w:r w:rsidRPr="006D5BA5">
        <w:t xml:space="preserve"> </w:t>
      </w:r>
      <w:r>
        <w:t xml:space="preserve">Μια έρευνα στην ΕΕ έδειξε ότι το 58% των πολιτών είναι αντίθετοι στη χρήση ΓΤΟ. Βλ. </w:t>
      </w:r>
      <w:r>
        <w:rPr>
          <w:i/>
          <w:lang w:val="en-US"/>
        </w:rPr>
        <w:t>European Commission</w:t>
      </w:r>
      <w:r>
        <w:rPr>
          <w:lang w:val="en-US"/>
        </w:rPr>
        <w:t>, Attitudes of European Citizens</w:t>
      </w:r>
      <w:r w:rsidRPr="00AF20C5">
        <w:rPr>
          <w:lang w:val="en-US"/>
        </w:rPr>
        <w:t>:</w:t>
      </w:r>
      <w:r>
        <w:rPr>
          <w:lang w:val="en-US"/>
        </w:rPr>
        <w:t xml:space="preserve"> Towards the Environment (Special Eurobarometer 295 (2008), </w:t>
      </w:r>
      <w:r>
        <w:t>σ</w:t>
      </w:r>
      <w:r w:rsidRPr="006D5BA5">
        <w:rPr>
          <w:lang w:val="en-US"/>
        </w:rPr>
        <w:t>. 65-66.</w:t>
      </w:r>
      <w:r w:rsidRPr="006872FE">
        <w:rPr>
          <w:lang w:val="en-US"/>
        </w:rPr>
        <w:t xml:space="preserve"> </w:t>
      </w:r>
      <w:r>
        <w:t>Αντίθετα, στις ΗΠΑ η πλειοψηφία των καταναλωτών αγοράζει ΓΤ τρόφιμα ιδίως αν παρουσιάζουν οφέλη σε σχέση με τα συμβατικά. Περίπου το 84% των</w:t>
      </w:r>
      <w:r w:rsidRPr="00235A27">
        <w:t xml:space="preserve"> </w:t>
      </w:r>
      <w:r>
        <w:t>καταναλωτών έχει θετική ή ουδέτερη γνώμη για την αγροτική βιοτεχνολογία. Περαιτέρω, μόνο το 1% των ερωτηθέντων απάντησε ότι θεωρούν τα ΓΤ τρόφιμα ως μη ασφαλή. Βλ</w:t>
      </w:r>
      <w:r w:rsidRPr="00B61932">
        <w:rPr>
          <w:lang w:val="en-US"/>
        </w:rPr>
        <w:t xml:space="preserve">., </w:t>
      </w:r>
      <w:r>
        <w:rPr>
          <w:i/>
          <w:lang w:val="en-US"/>
        </w:rPr>
        <w:t xml:space="preserve">International Food Information Council, </w:t>
      </w:r>
      <w:r>
        <w:rPr>
          <w:lang w:val="en-US"/>
        </w:rPr>
        <w:t>2008, Food Biotechnology: A Study of U.S. Consumer Trends (2008), Executive Summary</w:t>
      </w:r>
      <w:r w:rsidRPr="00B61932">
        <w:rPr>
          <w:lang w:val="en-US"/>
        </w:rPr>
        <w:t xml:space="preserve">. </w:t>
      </w:r>
      <w:r>
        <w:t>Διαθέσιμο</w:t>
      </w:r>
      <w:r w:rsidRPr="00957BE0">
        <w:t xml:space="preserve"> </w:t>
      </w:r>
      <w:r>
        <w:t>στο</w:t>
      </w:r>
      <w:r w:rsidRPr="00957BE0">
        <w:t>:</w:t>
      </w:r>
    </w:p>
    <w:p w:rsidR="00742CAF" w:rsidRPr="00957BE0" w:rsidRDefault="003522D9" w:rsidP="00742CAF">
      <w:pPr>
        <w:pStyle w:val="FootnoteText"/>
        <w:jc w:val="both"/>
      </w:pPr>
      <w:hyperlink r:id="rId4" w:history="1">
        <w:r w:rsidR="00742CAF" w:rsidRPr="00077FB3">
          <w:rPr>
            <w:rStyle w:val="Hyperlink"/>
            <w:lang w:val="fr-FR"/>
          </w:rPr>
          <w:t>http</w:t>
        </w:r>
        <w:r w:rsidR="00742CAF" w:rsidRPr="00957BE0">
          <w:rPr>
            <w:rStyle w:val="Hyperlink"/>
          </w:rPr>
          <w:t>://</w:t>
        </w:r>
        <w:r w:rsidR="00742CAF" w:rsidRPr="00077FB3">
          <w:rPr>
            <w:rStyle w:val="Hyperlink"/>
            <w:lang w:val="fr-FR"/>
          </w:rPr>
          <w:t>www</w:t>
        </w:r>
        <w:r w:rsidR="00742CAF" w:rsidRPr="00957BE0">
          <w:rPr>
            <w:rStyle w:val="Hyperlink"/>
          </w:rPr>
          <w:t>.</w:t>
        </w:r>
        <w:r w:rsidR="00742CAF" w:rsidRPr="00077FB3">
          <w:rPr>
            <w:rStyle w:val="Hyperlink"/>
            <w:lang w:val="fr-FR"/>
          </w:rPr>
          <w:t>ific</w:t>
        </w:r>
        <w:r w:rsidR="00742CAF" w:rsidRPr="00957BE0">
          <w:rPr>
            <w:rStyle w:val="Hyperlink"/>
          </w:rPr>
          <w:t>.</w:t>
        </w:r>
        <w:r w:rsidR="00742CAF" w:rsidRPr="00077FB3">
          <w:rPr>
            <w:rStyle w:val="Hyperlink"/>
            <w:lang w:val="fr-FR"/>
          </w:rPr>
          <w:t>org</w:t>
        </w:r>
        <w:r w:rsidR="00742CAF" w:rsidRPr="00957BE0">
          <w:rPr>
            <w:rStyle w:val="Hyperlink"/>
          </w:rPr>
          <w:t>/</w:t>
        </w:r>
        <w:r w:rsidR="00742CAF" w:rsidRPr="00077FB3">
          <w:rPr>
            <w:rStyle w:val="Hyperlink"/>
            <w:lang w:val="fr-FR"/>
          </w:rPr>
          <w:t>research</w:t>
        </w:r>
        <w:r w:rsidR="00742CAF" w:rsidRPr="00957BE0">
          <w:rPr>
            <w:rStyle w:val="Hyperlink"/>
          </w:rPr>
          <w:t>/</w:t>
        </w:r>
        <w:r w:rsidR="00742CAF" w:rsidRPr="00077FB3">
          <w:rPr>
            <w:rStyle w:val="Hyperlink"/>
            <w:lang w:val="fr-FR"/>
          </w:rPr>
          <w:t>upload</w:t>
        </w:r>
        <w:r w:rsidR="00742CAF" w:rsidRPr="00957BE0">
          <w:rPr>
            <w:rStyle w:val="Hyperlink"/>
          </w:rPr>
          <w:t>/</w:t>
        </w:r>
        <w:r w:rsidR="00742CAF" w:rsidRPr="00077FB3">
          <w:rPr>
            <w:rStyle w:val="Hyperlink"/>
            <w:lang w:val="fr-FR"/>
          </w:rPr>
          <w:t>Executive</w:t>
        </w:r>
        <w:r w:rsidR="00742CAF" w:rsidRPr="00957BE0">
          <w:rPr>
            <w:rStyle w:val="Hyperlink"/>
          </w:rPr>
          <w:t>-</w:t>
        </w:r>
        <w:r w:rsidR="00742CAF" w:rsidRPr="00077FB3">
          <w:rPr>
            <w:rStyle w:val="Hyperlink"/>
            <w:lang w:val="fr-FR"/>
          </w:rPr>
          <w:t>Summary</w:t>
        </w:r>
        <w:r w:rsidR="00742CAF" w:rsidRPr="00957BE0">
          <w:rPr>
            <w:rStyle w:val="Hyperlink"/>
          </w:rPr>
          <w:t>-</w:t>
        </w:r>
        <w:r w:rsidR="00742CAF" w:rsidRPr="00077FB3">
          <w:rPr>
            <w:rStyle w:val="Hyperlink"/>
            <w:lang w:val="fr-FR"/>
          </w:rPr>
          <w:t>Biotech</w:t>
        </w:r>
        <w:r w:rsidR="00742CAF" w:rsidRPr="00957BE0">
          <w:rPr>
            <w:rStyle w:val="Hyperlink"/>
          </w:rPr>
          <w:t>-</w:t>
        </w:r>
        <w:r w:rsidR="00742CAF" w:rsidRPr="00077FB3">
          <w:rPr>
            <w:rStyle w:val="Hyperlink"/>
            <w:lang w:val="fr-FR"/>
          </w:rPr>
          <w:t>Report</w:t>
        </w:r>
        <w:r w:rsidR="00742CAF" w:rsidRPr="00957BE0">
          <w:rPr>
            <w:rStyle w:val="Hyperlink"/>
          </w:rPr>
          <w:t>_</w:t>
        </w:r>
        <w:r w:rsidR="00742CAF" w:rsidRPr="00077FB3">
          <w:rPr>
            <w:rStyle w:val="Hyperlink"/>
            <w:lang w:val="fr-FR"/>
          </w:rPr>
          <w:t>Website</w:t>
        </w:r>
        <w:r w:rsidR="00742CAF" w:rsidRPr="00957BE0">
          <w:rPr>
            <w:rStyle w:val="Hyperlink"/>
          </w:rPr>
          <w:t>-</w:t>
        </w:r>
        <w:r w:rsidR="00742CAF" w:rsidRPr="00077FB3">
          <w:rPr>
            <w:rStyle w:val="Hyperlink"/>
            <w:lang w:val="fr-FR"/>
          </w:rPr>
          <w:t>version</w:t>
        </w:r>
        <w:r w:rsidR="00742CAF" w:rsidRPr="00957BE0">
          <w:rPr>
            <w:rStyle w:val="Hyperlink"/>
          </w:rPr>
          <w:t>.</w:t>
        </w:r>
        <w:r w:rsidR="00742CAF" w:rsidRPr="00077FB3">
          <w:rPr>
            <w:rStyle w:val="Hyperlink"/>
            <w:lang w:val="fr-FR"/>
          </w:rPr>
          <w:t>pdf</w:t>
        </w:r>
      </w:hyperlink>
      <w:r w:rsidR="00742CAF" w:rsidRPr="00957BE0">
        <w:t xml:space="preserve">   </w:t>
      </w:r>
    </w:p>
  </w:footnote>
  <w:footnote w:id="17">
    <w:p w:rsidR="00742CAF" w:rsidRPr="00A03F54" w:rsidRDefault="00742CAF" w:rsidP="00742CAF">
      <w:pPr>
        <w:pStyle w:val="FootnoteText"/>
        <w:jc w:val="both"/>
        <w:rPr>
          <w:lang w:val="en-GB"/>
        </w:rPr>
      </w:pPr>
      <w:r w:rsidRPr="005B31B3">
        <w:rPr>
          <w:rStyle w:val="FootnoteReference"/>
        </w:rPr>
        <w:footnoteRef/>
      </w:r>
      <w:r>
        <w:rPr>
          <w:lang w:val="fr-FR"/>
        </w:rPr>
        <w:t xml:space="preserve"> </w:t>
      </w:r>
      <w:r w:rsidRPr="00762FA6">
        <w:rPr>
          <w:i/>
          <w:lang w:val="fr-FR"/>
        </w:rPr>
        <w:t>S. Maljean-Dubois</w:t>
      </w:r>
      <w:r>
        <w:rPr>
          <w:lang w:val="fr-FR"/>
        </w:rPr>
        <w:t xml:space="preserve">, </w:t>
      </w:r>
      <w:r w:rsidRPr="005A69B1">
        <w:rPr>
          <w:lang w:val="fr-FR"/>
        </w:rPr>
        <w:t>“</w:t>
      </w:r>
      <w:r w:rsidRPr="005B31B3">
        <w:rPr>
          <w:lang w:val="fr-FR"/>
        </w:rPr>
        <w:t>La régulation du commerce international des organismes génétiquement modifies: entre le droit international de l’environnement et le droit de l’org</w:t>
      </w:r>
      <w:r>
        <w:rPr>
          <w:lang w:val="fr-FR"/>
        </w:rPr>
        <w:t>anisation mondiale du commerce </w:t>
      </w:r>
      <w:r w:rsidRPr="005A69B1">
        <w:rPr>
          <w:lang w:val="fr-FR"/>
        </w:rPr>
        <w:t>”</w:t>
      </w:r>
      <w:r w:rsidRPr="005B31B3">
        <w:rPr>
          <w:lang w:val="fr-FR"/>
        </w:rPr>
        <w:t xml:space="preserve">, in : J. Bourrinet, S. Maljean-Dubois (dir.), Le commerce international des organismes génétiquement modifies, Paris, </w:t>
      </w:r>
      <w:smartTag w:uri="urn:schemas-microsoft-com:office:smarttags" w:element="PersonName">
        <w:smartTagPr>
          <w:attr w:name="ProductID" w:val="La Documentation"/>
        </w:smartTagPr>
        <w:r w:rsidRPr="005B31B3">
          <w:rPr>
            <w:lang w:val="fr-FR"/>
          </w:rPr>
          <w:t>La Documentation</w:t>
        </w:r>
      </w:smartTag>
      <w:r w:rsidRPr="005B31B3">
        <w:rPr>
          <w:lang w:val="fr-FR"/>
        </w:rPr>
        <w:t xml:space="preserve"> française, 2002, </w:t>
      </w:r>
      <w:r w:rsidRPr="005B31B3">
        <w:t>σ</w:t>
      </w:r>
      <w:r w:rsidRPr="005B31B3">
        <w:rPr>
          <w:lang w:val="fr-FR"/>
        </w:rPr>
        <w:t>. 27.</w:t>
      </w:r>
      <w:r w:rsidRPr="00E30E5E">
        <w:rPr>
          <w:bCs/>
          <w:lang w:val="fr-FR"/>
        </w:rPr>
        <w:t xml:space="preserve"> </w:t>
      </w:r>
      <w:r w:rsidRPr="005A69B1">
        <w:rPr>
          <w:bCs/>
          <w:i/>
          <w:lang w:val="en-US"/>
        </w:rPr>
        <w:t>S</w:t>
      </w:r>
      <w:r w:rsidRPr="005A69B1">
        <w:rPr>
          <w:bCs/>
          <w:i/>
          <w:lang w:val="en-GB"/>
        </w:rPr>
        <w:t xml:space="preserve">. </w:t>
      </w:r>
      <w:r w:rsidRPr="005A69B1">
        <w:rPr>
          <w:bCs/>
          <w:i/>
          <w:lang w:val="en-US"/>
        </w:rPr>
        <w:t>Jasanoff</w:t>
      </w:r>
      <w:r>
        <w:rPr>
          <w:lang w:val="en-GB"/>
        </w:rPr>
        <w:t>, “</w:t>
      </w:r>
      <w:r w:rsidRPr="005B31B3">
        <w:rPr>
          <w:lang w:val="en-US"/>
        </w:rPr>
        <w:t>Commentary</w:t>
      </w:r>
      <w:r w:rsidRPr="005B31B3">
        <w:rPr>
          <w:lang w:val="en-GB"/>
        </w:rPr>
        <w:t xml:space="preserve">: </w:t>
      </w:r>
      <w:r w:rsidRPr="005B31B3">
        <w:rPr>
          <w:lang w:val="en-US"/>
        </w:rPr>
        <w:t>Between</w:t>
      </w:r>
      <w:r w:rsidRPr="005B31B3">
        <w:rPr>
          <w:lang w:val="en-GB"/>
        </w:rPr>
        <w:t xml:space="preserve"> </w:t>
      </w:r>
      <w:r w:rsidRPr="005B31B3">
        <w:rPr>
          <w:lang w:val="en-US"/>
        </w:rPr>
        <w:t>Risk</w:t>
      </w:r>
      <w:r w:rsidRPr="005B31B3">
        <w:rPr>
          <w:lang w:val="en-GB"/>
        </w:rPr>
        <w:t xml:space="preserve"> </w:t>
      </w:r>
      <w:r w:rsidRPr="005B31B3">
        <w:rPr>
          <w:lang w:val="en-US"/>
        </w:rPr>
        <w:t>and</w:t>
      </w:r>
      <w:r w:rsidRPr="005B31B3">
        <w:rPr>
          <w:lang w:val="en-GB"/>
        </w:rPr>
        <w:t xml:space="preserve"> </w:t>
      </w:r>
      <w:r w:rsidRPr="005B31B3">
        <w:rPr>
          <w:lang w:val="en-US"/>
        </w:rPr>
        <w:t>Precaution</w:t>
      </w:r>
      <w:r w:rsidRPr="005B31B3">
        <w:rPr>
          <w:lang w:val="en-GB"/>
        </w:rPr>
        <w:t>-</w:t>
      </w:r>
      <w:r w:rsidRPr="005B31B3">
        <w:rPr>
          <w:lang w:val="en-US"/>
        </w:rPr>
        <w:t>Reassessing</w:t>
      </w:r>
      <w:r w:rsidRPr="005B31B3">
        <w:rPr>
          <w:lang w:val="en-GB"/>
        </w:rPr>
        <w:t xml:space="preserve"> </w:t>
      </w:r>
      <w:r w:rsidRPr="005B31B3">
        <w:rPr>
          <w:lang w:val="en-US"/>
        </w:rPr>
        <w:t>the</w:t>
      </w:r>
      <w:r w:rsidRPr="005B31B3">
        <w:rPr>
          <w:lang w:val="en-GB"/>
        </w:rPr>
        <w:t xml:space="preserve"> </w:t>
      </w:r>
      <w:r w:rsidRPr="005B31B3">
        <w:rPr>
          <w:lang w:val="en-US"/>
        </w:rPr>
        <w:t>Future</w:t>
      </w:r>
      <w:r w:rsidRPr="005B31B3">
        <w:rPr>
          <w:lang w:val="en-GB"/>
        </w:rPr>
        <w:t xml:space="preserve"> </w:t>
      </w:r>
      <w:r w:rsidRPr="005B31B3">
        <w:rPr>
          <w:lang w:val="en-US"/>
        </w:rPr>
        <w:t>of</w:t>
      </w:r>
      <w:r w:rsidRPr="005B31B3">
        <w:rPr>
          <w:lang w:val="en-GB"/>
        </w:rPr>
        <w:t xml:space="preserve"> </w:t>
      </w:r>
      <w:r w:rsidRPr="005B31B3">
        <w:rPr>
          <w:lang w:val="en-US"/>
        </w:rPr>
        <w:t>GM</w:t>
      </w:r>
      <w:r>
        <w:rPr>
          <w:lang w:val="en-GB"/>
        </w:rPr>
        <w:t xml:space="preserve"> Crops”</w:t>
      </w:r>
      <w:r w:rsidRPr="005B31B3">
        <w:rPr>
          <w:lang w:val="en-GB"/>
        </w:rPr>
        <w:t xml:space="preserve">, </w:t>
      </w:r>
      <w:r w:rsidRPr="005B31B3">
        <w:rPr>
          <w:lang w:val="en-US"/>
        </w:rPr>
        <w:t>Journal</w:t>
      </w:r>
      <w:r w:rsidRPr="005B31B3">
        <w:rPr>
          <w:lang w:val="en-GB"/>
        </w:rPr>
        <w:t xml:space="preserve"> </w:t>
      </w:r>
      <w:r w:rsidRPr="005B31B3">
        <w:rPr>
          <w:lang w:val="en-US"/>
        </w:rPr>
        <w:t>of</w:t>
      </w:r>
      <w:r w:rsidRPr="005B31B3">
        <w:rPr>
          <w:lang w:val="en-GB"/>
        </w:rPr>
        <w:t xml:space="preserve"> </w:t>
      </w:r>
      <w:r w:rsidRPr="005B31B3">
        <w:rPr>
          <w:lang w:val="en-US"/>
        </w:rPr>
        <w:t>Risk</w:t>
      </w:r>
      <w:r w:rsidRPr="005B31B3">
        <w:rPr>
          <w:lang w:val="en-GB"/>
        </w:rPr>
        <w:t xml:space="preserve"> </w:t>
      </w:r>
      <w:r w:rsidRPr="005B31B3">
        <w:rPr>
          <w:lang w:val="en-US"/>
        </w:rPr>
        <w:t>Research</w:t>
      </w:r>
      <w:r w:rsidRPr="005B31B3">
        <w:rPr>
          <w:lang w:val="en-GB"/>
        </w:rPr>
        <w:t xml:space="preserve">, </w:t>
      </w:r>
      <w:r w:rsidRPr="005B31B3">
        <w:rPr>
          <w:lang w:val="en-US"/>
        </w:rPr>
        <w:t>Vol</w:t>
      </w:r>
      <w:r w:rsidRPr="005B31B3">
        <w:rPr>
          <w:lang w:val="en-GB"/>
        </w:rPr>
        <w:t xml:space="preserve">. 3, 2000, </w:t>
      </w:r>
      <w:r w:rsidRPr="005B31B3">
        <w:t>σ</w:t>
      </w:r>
      <w:r w:rsidRPr="005B31B3">
        <w:rPr>
          <w:lang w:val="en-GB"/>
        </w:rPr>
        <w:t xml:space="preserve">. 277. </w:t>
      </w:r>
      <w:r w:rsidRPr="005B31B3">
        <w:t>Για</w:t>
      </w:r>
      <w:r w:rsidRPr="00E30E5E">
        <w:rPr>
          <w:lang w:val="en-GB"/>
        </w:rPr>
        <w:t xml:space="preserve"> </w:t>
      </w:r>
      <w:r w:rsidRPr="005B31B3">
        <w:t>μια</w:t>
      </w:r>
      <w:r w:rsidRPr="00E30E5E">
        <w:rPr>
          <w:lang w:val="en-GB"/>
        </w:rPr>
        <w:t xml:space="preserve"> </w:t>
      </w:r>
      <w:r w:rsidRPr="005B31B3">
        <w:t>σε</w:t>
      </w:r>
      <w:r w:rsidRPr="00E30E5E">
        <w:rPr>
          <w:lang w:val="en-GB"/>
        </w:rPr>
        <w:t xml:space="preserve"> </w:t>
      </w:r>
      <w:r w:rsidRPr="005B31B3">
        <w:t>βάθος</w:t>
      </w:r>
      <w:r w:rsidRPr="00E30E5E">
        <w:rPr>
          <w:lang w:val="en-GB"/>
        </w:rPr>
        <w:t xml:space="preserve"> </w:t>
      </w:r>
      <w:r w:rsidRPr="005B31B3">
        <w:t>ανάλυση</w:t>
      </w:r>
      <w:r w:rsidRPr="00E30E5E">
        <w:rPr>
          <w:lang w:val="en-GB"/>
        </w:rPr>
        <w:t xml:space="preserve"> </w:t>
      </w:r>
      <w:r w:rsidRPr="005B31B3">
        <w:t>των</w:t>
      </w:r>
      <w:r w:rsidRPr="00E30E5E">
        <w:rPr>
          <w:lang w:val="en-GB"/>
        </w:rPr>
        <w:t xml:space="preserve"> </w:t>
      </w:r>
      <w:r w:rsidRPr="005B31B3">
        <w:t>διαφορών</w:t>
      </w:r>
      <w:r w:rsidRPr="00E30E5E">
        <w:rPr>
          <w:lang w:val="en-GB"/>
        </w:rPr>
        <w:t xml:space="preserve"> </w:t>
      </w:r>
      <w:r w:rsidRPr="005B31B3">
        <w:t>μεταξύ</w:t>
      </w:r>
      <w:r w:rsidRPr="00E30E5E">
        <w:rPr>
          <w:lang w:val="en-GB"/>
        </w:rPr>
        <w:t xml:space="preserve"> </w:t>
      </w:r>
      <w:r w:rsidRPr="005B31B3">
        <w:t>ΗΠΑ</w:t>
      </w:r>
      <w:r w:rsidRPr="00E30E5E">
        <w:rPr>
          <w:lang w:val="en-GB"/>
        </w:rPr>
        <w:t xml:space="preserve"> </w:t>
      </w:r>
      <w:r w:rsidRPr="005B31B3">
        <w:t>και</w:t>
      </w:r>
      <w:r w:rsidRPr="00E30E5E">
        <w:rPr>
          <w:lang w:val="en-GB"/>
        </w:rPr>
        <w:t xml:space="preserve"> </w:t>
      </w:r>
      <w:r w:rsidRPr="005B31B3">
        <w:t>Ε</w:t>
      </w:r>
      <w:r w:rsidRPr="00E30E5E">
        <w:rPr>
          <w:lang w:val="en-GB"/>
        </w:rPr>
        <w:t>.</w:t>
      </w:r>
      <w:r w:rsidRPr="005B31B3">
        <w:t>Ε</w:t>
      </w:r>
      <w:r w:rsidRPr="00E30E5E">
        <w:rPr>
          <w:lang w:val="en-GB"/>
        </w:rPr>
        <w:t xml:space="preserve">. </w:t>
      </w:r>
      <w:r w:rsidRPr="005B31B3">
        <w:t>στο</w:t>
      </w:r>
      <w:r w:rsidRPr="00E30E5E">
        <w:rPr>
          <w:lang w:val="en-GB"/>
        </w:rPr>
        <w:t xml:space="preserve"> </w:t>
      </w:r>
      <w:r w:rsidRPr="005B31B3">
        <w:t>γενικότερο</w:t>
      </w:r>
      <w:r w:rsidRPr="00E30E5E">
        <w:rPr>
          <w:lang w:val="en-GB"/>
        </w:rPr>
        <w:t xml:space="preserve"> </w:t>
      </w:r>
      <w:r w:rsidRPr="005B31B3">
        <w:t>ζήτημα</w:t>
      </w:r>
      <w:r w:rsidRPr="00E30E5E">
        <w:rPr>
          <w:lang w:val="en-GB"/>
        </w:rPr>
        <w:t xml:space="preserve"> </w:t>
      </w:r>
      <w:r w:rsidRPr="005B31B3">
        <w:t>της</w:t>
      </w:r>
      <w:r w:rsidRPr="00E30E5E">
        <w:rPr>
          <w:lang w:val="en-GB"/>
        </w:rPr>
        <w:t xml:space="preserve"> </w:t>
      </w:r>
      <w:r w:rsidRPr="005B31B3">
        <w:t>βιοτεχνολογίας</w:t>
      </w:r>
      <w:r w:rsidRPr="00E30E5E">
        <w:rPr>
          <w:lang w:val="en-GB"/>
        </w:rPr>
        <w:t xml:space="preserve"> </w:t>
      </w:r>
      <w:r w:rsidRPr="005B31B3">
        <w:t>και</w:t>
      </w:r>
      <w:r w:rsidRPr="00E30E5E">
        <w:rPr>
          <w:lang w:val="en-GB"/>
        </w:rPr>
        <w:t xml:space="preserve"> </w:t>
      </w:r>
      <w:r w:rsidRPr="005B31B3">
        <w:t>των</w:t>
      </w:r>
      <w:r w:rsidRPr="00E30E5E">
        <w:rPr>
          <w:lang w:val="en-GB"/>
        </w:rPr>
        <w:t xml:space="preserve"> </w:t>
      </w:r>
      <w:r w:rsidRPr="005B31B3">
        <w:t>σχέσεων</w:t>
      </w:r>
      <w:r w:rsidRPr="00E30E5E">
        <w:rPr>
          <w:lang w:val="en-GB"/>
        </w:rPr>
        <w:t xml:space="preserve"> </w:t>
      </w:r>
      <w:r w:rsidRPr="005B31B3">
        <w:t>μεταξύ</w:t>
      </w:r>
      <w:r w:rsidRPr="00E30E5E">
        <w:rPr>
          <w:lang w:val="en-GB"/>
        </w:rPr>
        <w:t xml:space="preserve"> </w:t>
      </w:r>
      <w:r w:rsidRPr="005B31B3">
        <w:t>της</w:t>
      </w:r>
      <w:r w:rsidRPr="00E30E5E">
        <w:rPr>
          <w:lang w:val="en-GB"/>
        </w:rPr>
        <w:t xml:space="preserve"> </w:t>
      </w:r>
      <w:r w:rsidRPr="005B31B3">
        <w:t>επιστήμης</w:t>
      </w:r>
      <w:r w:rsidRPr="00E30E5E">
        <w:rPr>
          <w:lang w:val="en-GB"/>
        </w:rPr>
        <w:t xml:space="preserve"> </w:t>
      </w:r>
      <w:r w:rsidRPr="005B31B3">
        <w:t>και</w:t>
      </w:r>
      <w:r w:rsidRPr="00E30E5E">
        <w:rPr>
          <w:lang w:val="en-GB"/>
        </w:rPr>
        <w:t xml:space="preserve"> </w:t>
      </w:r>
      <w:r w:rsidRPr="005B31B3">
        <w:t>της</w:t>
      </w:r>
      <w:r w:rsidRPr="00E30E5E">
        <w:rPr>
          <w:lang w:val="en-GB"/>
        </w:rPr>
        <w:t xml:space="preserve"> </w:t>
      </w:r>
      <w:r w:rsidRPr="005B31B3">
        <w:t>δημοκρατίας</w:t>
      </w:r>
      <w:r w:rsidRPr="00E30E5E">
        <w:rPr>
          <w:lang w:val="en-GB"/>
        </w:rPr>
        <w:t xml:space="preserve">, </w:t>
      </w:r>
      <w:r w:rsidRPr="005B31B3">
        <w:t>βλ</w:t>
      </w:r>
      <w:r w:rsidRPr="00E30E5E">
        <w:rPr>
          <w:lang w:val="en-GB"/>
        </w:rPr>
        <w:t xml:space="preserve">., </w:t>
      </w:r>
      <w:r w:rsidRPr="005A69B1">
        <w:rPr>
          <w:i/>
          <w:lang w:val="en-GB"/>
        </w:rPr>
        <w:t>S. Jasanoff</w:t>
      </w:r>
      <w:r w:rsidRPr="00E30E5E">
        <w:rPr>
          <w:lang w:val="en-GB"/>
        </w:rPr>
        <w:t xml:space="preserve">, </w:t>
      </w:r>
      <w:r w:rsidRPr="005B31B3">
        <w:rPr>
          <w:lang w:val="en-GB"/>
        </w:rPr>
        <w:t>Designs</w:t>
      </w:r>
      <w:r w:rsidRPr="00E30E5E">
        <w:rPr>
          <w:lang w:val="en-GB"/>
        </w:rPr>
        <w:t xml:space="preserve"> </w:t>
      </w:r>
      <w:r w:rsidRPr="005B31B3">
        <w:rPr>
          <w:lang w:val="en-GB"/>
        </w:rPr>
        <w:t>on</w:t>
      </w:r>
      <w:r w:rsidRPr="00E30E5E">
        <w:rPr>
          <w:lang w:val="en-GB"/>
        </w:rPr>
        <w:t xml:space="preserve"> </w:t>
      </w:r>
      <w:r w:rsidRPr="005B31B3">
        <w:rPr>
          <w:lang w:val="en-GB"/>
        </w:rPr>
        <w:t>Nature</w:t>
      </w:r>
      <w:r w:rsidRPr="00E30E5E">
        <w:rPr>
          <w:lang w:val="en-GB"/>
        </w:rPr>
        <w:t>:</w:t>
      </w:r>
      <w:r w:rsidRPr="005B31B3">
        <w:rPr>
          <w:lang w:val="en-US"/>
        </w:rPr>
        <w:t xml:space="preserve"> Science and Democracy in Europe and the United States, Princeton-London, Princeton University Press, 2005.</w:t>
      </w:r>
      <w:r>
        <w:rPr>
          <w:lang w:val="en-GB"/>
        </w:rPr>
        <w:t xml:space="preserve">  </w:t>
      </w:r>
    </w:p>
  </w:footnote>
  <w:footnote w:id="18">
    <w:p w:rsidR="00742CAF" w:rsidRPr="00164E02" w:rsidRDefault="00742CAF" w:rsidP="00742CAF">
      <w:pPr>
        <w:pStyle w:val="FootnoteText"/>
        <w:jc w:val="both"/>
        <w:rPr>
          <w:lang w:val="en-US"/>
        </w:rPr>
      </w:pPr>
      <w:r>
        <w:rPr>
          <w:rStyle w:val="FootnoteReference"/>
        </w:rPr>
        <w:footnoteRef/>
      </w:r>
      <w:r w:rsidRPr="00164E02">
        <w:rPr>
          <w:lang w:val="en-US"/>
        </w:rPr>
        <w:t xml:space="preserve"> </w:t>
      </w:r>
      <w:r>
        <w:rPr>
          <w:i/>
          <w:lang w:val="en-US"/>
        </w:rPr>
        <w:t>M.A. Pollack, G.C. Shaffer</w:t>
      </w:r>
      <w:r>
        <w:rPr>
          <w:lang w:val="en-US"/>
        </w:rPr>
        <w:t>, When Cooperation Fails: The International Law and Politics of Genetically Modified Foods, Oxford, NY, Oxford University Press, 2009,</w:t>
      </w:r>
      <w:r w:rsidRPr="00164E02">
        <w:rPr>
          <w:lang w:val="en-US"/>
        </w:rPr>
        <w:t xml:space="preserve"> </w:t>
      </w:r>
      <w:r>
        <w:t>σ</w:t>
      </w:r>
      <w:r w:rsidRPr="00164E02">
        <w:rPr>
          <w:lang w:val="en-US"/>
        </w:rPr>
        <w:t>. 2.</w:t>
      </w:r>
    </w:p>
  </w:footnote>
  <w:footnote w:id="19">
    <w:p w:rsidR="00742CAF" w:rsidRPr="00DA4533" w:rsidRDefault="00742CAF" w:rsidP="00742CAF">
      <w:pPr>
        <w:pStyle w:val="FootnoteText"/>
        <w:jc w:val="both"/>
        <w:rPr>
          <w:lang w:val="en-US"/>
        </w:rPr>
      </w:pPr>
      <w:r>
        <w:rPr>
          <w:rStyle w:val="FootnoteReference"/>
        </w:rPr>
        <w:footnoteRef/>
      </w:r>
      <w:r w:rsidRPr="00DA4533">
        <w:rPr>
          <w:lang w:val="en-US"/>
        </w:rPr>
        <w:t xml:space="preserve"> </w:t>
      </w:r>
      <w:r>
        <w:t>Βλ</w:t>
      </w:r>
      <w:r w:rsidRPr="00DA4533">
        <w:rPr>
          <w:lang w:val="en-US"/>
        </w:rPr>
        <w:t xml:space="preserve">., </w:t>
      </w:r>
      <w:r>
        <w:t>αντί</w:t>
      </w:r>
      <w:r w:rsidRPr="00DA4533">
        <w:rPr>
          <w:lang w:val="en-US"/>
        </w:rPr>
        <w:t xml:space="preserve"> </w:t>
      </w:r>
      <w:r>
        <w:t>πολλών</w:t>
      </w:r>
      <w:r w:rsidRPr="00DA4533">
        <w:rPr>
          <w:lang w:val="en-US"/>
        </w:rPr>
        <w:t xml:space="preserve">, </w:t>
      </w:r>
      <w:r>
        <w:rPr>
          <w:i/>
          <w:lang w:val="en-US"/>
        </w:rPr>
        <w:t>T.O</w:t>
      </w:r>
      <w:r w:rsidRPr="00DA4533">
        <w:rPr>
          <w:i/>
          <w:lang w:val="en-US"/>
        </w:rPr>
        <w:t xml:space="preserve">. </w:t>
      </w:r>
      <w:r>
        <w:rPr>
          <w:i/>
          <w:lang w:val="en-US"/>
        </w:rPr>
        <w:t>McGarity</w:t>
      </w:r>
      <w:r>
        <w:rPr>
          <w:lang w:val="en-US"/>
        </w:rPr>
        <w:t>, “Seeds of Distrust: Federal Regulation of Genetically Modified Foods”, University of Michigan Journal of Law Reform, Vol. 35</w:t>
      </w:r>
      <w:r w:rsidRPr="00311AB9">
        <w:rPr>
          <w:lang w:val="en-US"/>
        </w:rPr>
        <w:t>(3)</w:t>
      </w:r>
      <w:r>
        <w:rPr>
          <w:lang w:val="en-US"/>
        </w:rPr>
        <w:t xml:space="preserve">, 2002, </w:t>
      </w:r>
      <w:r>
        <w:t>σ</w:t>
      </w:r>
      <w:r w:rsidRPr="00DA4533">
        <w:rPr>
          <w:lang w:val="en-US"/>
        </w:rPr>
        <w:t>.</w:t>
      </w:r>
      <w:r>
        <w:rPr>
          <w:lang w:val="en-US"/>
        </w:rPr>
        <w:t xml:space="preserve"> 43</w:t>
      </w:r>
      <w:r w:rsidRPr="00F941BA">
        <w:rPr>
          <w:lang w:val="en-US"/>
        </w:rPr>
        <w:t>1</w:t>
      </w:r>
      <w:r w:rsidRPr="00311AB9">
        <w:rPr>
          <w:lang w:val="en-US"/>
        </w:rPr>
        <w:t>.</w:t>
      </w:r>
      <w:r>
        <w:rPr>
          <w:lang w:val="en-US"/>
        </w:rPr>
        <w:t xml:space="preserve"> (40</w:t>
      </w:r>
      <w:r w:rsidRPr="00DA4533">
        <w:rPr>
          <w:lang w:val="en-US"/>
        </w:rPr>
        <w:t>3</w:t>
      </w:r>
      <w:r>
        <w:rPr>
          <w:lang w:val="en-US"/>
        </w:rPr>
        <w:t xml:space="preserve"> </w:t>
      </w:r>
      <w:r>
        <w:t>επ</w:t>
      </w:r>
      <w:r>
        <w:rPr>
          <w:lang w:val="en-US"/>
        </w:rPr>
        <w:t>)</w:t>
      </w:r>
    </w:p>
  </w:footnote>
  <w:footnote w:id="20">
    <w:p w:rsidR="00742CAF" w:rsidRPr="00FC5091" w:rsidRDefault="00742CAF" w:rsidP="00742CAF">
      <w:pPr>
        <w:pStyle w:val="FootnoteText"/>
        <w:jc w:val="both"/>
        <w:rPr>
          <w:lang w:val="en-US"/>
        </w:rPr>
      </w:pPr>
      <w:r>
        <w:rPr>
          <w:rStyle w:val="FootnoteReference"/>
        </w:rPr>
        <w:footnoteRef/>
      </w:r>
      <w:r w:rsidRPr="00FA4468">
        <w:rPr>
          <w:lang w:val="en-US"/>
        </w:rPr>
        <w:t xml:space="preserve"> </w:t>
      </w:r>
      <w:r w:rsidRPr="00FA4468">
        <w:rPr>
          <w:i/>
          <w:lang w:val="en-US"/>
        </w:rPr>
        <w:t>G.A. Kleter et al.,</w:t>
      </w:r>
      <w:r w:rsidRPr="00FA4468">
        <w:rPr>
          <w:lang w:val="en-US"/>
        </w:rPr>
        <w:t> </w:t>
      </w:r>
      <w:r>
        <w:rPr>
          <w:lang w:val="en-US"/>
        </w:rPr>
        <w:t>“</w:t>
      </w:r>
      <w:r w:rsidRPr="00FA4468">
        <w:rPr>
          <w:lang w:val="en-US"/>
        </w:rPr>
        <w:t>Regulation and Exploitation of Genetically Modified Crops</w:t>
      </w:r>
      <w:r>
        <w:rPr>
          <w:lang w:val="en-US"/>
        </w:rPr>
        <w:t>”,</w:t>
      </w:r>
      <w:r w:rsidRPr="00FA4468">
        <w:rPr>
          <w:lang w:val="en-US"/>
        </w:rPr>
        <w:t xml:space="preserve"> Nature Biotechnology</w:t>
      </w:r>
      <w:r>
        <w:rPr>
          <w:lang w:val="en-US"/>
        </w:rPr>
        <w:t xml:space="preserve">, Vol. 19, 2001, </w:t>
      </w:r>
      <w:r>
        <w:t>σ</w:t>
      </w:r>
      <w:r w:rsidRPr="00FA4468">
        <w:rPr>
          <w:lang w:val="en-US"/>
        </w:rPr>
        <w:t>. 1</w:t>
      </w:r>
      <w:r>
        <w:rPr>
          <w:lang w:val="en-US"/>
        </w:rPr>
        <w:t>106-1</w:t>
      </w:r>
      <w:r w:rsidRPr="00847BD5">
        <w:rPr>
          <w:lang w:val="en-US"/>
        </w:rPr>
        <w:t>108</w:t>
      </w:r>
      <w:r w:rsidRPr="00FA4468">
        <w:rPr>
          <w:lang w:val="en-US"/>
        </w:rPr>
        <w:t xml:space="preserve">. </w:t>
      </w:r>
      <w:r>
        <w:rPr>
          <w:i/>
          <w:lang w:val="en-US"/>
        </w:rPr>
        <w:t>A. Eliason</w:t>
      </w:r>
      <w:r>
        <w:rPr>
          <w:lang w:val="en-US"/>
        </w:rPr>
        <w:t xml:space="preserve">, “Science versus Law in WTO Jurisprudence: The (Mis) interpretation of the Scientific Process and the (In)sufficiency of Scientific Evidence in EC-Biotech”, Journal of International Law and Politics, Vol. 41, 2009, </w:t>
      </w:r>
      <w:r>
        <w:t>σ</w:t>
      </w:r>
      <w:r w:rsidRPr="00FC5091">
        <w:rPr>
          <w:lang w:val="en-US"/>
        </w:rPr>
        <w:t>. 371.</w:t>
      </w:r>
    </w:p>
  </w:footnote>
  <w:footnote w:id="21">
    <w:p w:rsidR="00742CAF" w:rsidRPr="006B6331" w:rsidRDefault="00742CAF" w:rsidP="00742CAF">
      <w:pPr>
        <w:pStyle w:val="FootnoteText"/>
        <w:jc w:val="both"/>
        <w:rPr>
          <w:lang w:val="en-US"/>
        </w:rPr>
      </w:pPr>
      <w:r>
        <w:rPr>
          <w:rStyle w:val="FootnoteReference"/>
        </w:rPr>
        <w:footnoteRef/>
      </w:r>
      <w:r w:rsidRPr="00E701A9">
        <w:rPr>
          <w:lang w:val="en-US"/>
        </w:rPr>
        <w:t xml:space="preserve"> </w:t>
      </w:r>
      <w:r>
        <w:rPr>
          <w:i/>
          <w:lang w:val="en-US"/>
        </w:rPr>
        <w:t>E. Marden</w:t>
      </w:r>
      <w:r>
        <w:rPr>
          <w:lang w:val="en-US"/>
        </w:rPr>
        <w:t xml:space="preserve">, “Risk and Regulation: U.S. Regulatory Policy on Genetically Modified Food and Agriculture”, Boston College Law Review, Vol. 44, 2003, </w:t>
      </w:r>
      <w:r>
        <w:t>σ</w:t>
      </w:r>
      <w:r w:rsidRPr="00E701A9">
        <w:rPr>
          <w:lang w:val="en-US"/>
        </w:rPr>
        <w:t>. 734-735.</w:t>
      </w:r>
      <w:r>
        <w:rPr>
          <w:lang w:val="en-US"/>
        </w:rPr>
        <w:t xml:space="preserve"> (</w:t>
      </w:r>
      <w:r w:rsidRPr="006B6331">
        <w:rPr>
          <w:lang w:val="en-US"/>
        </w:rPr>
        <w:t xml:space="preserve">733 </w:t>
      </w:r>
      <w:r>
        <w:t>επ</w:t>
      </w:r>
      <w:r w:rsidRPr="006B6331">
        <w:rPr>
          <w:lang w:val="en-US"/>
        </w:rPr>
        <w:t>)</w:t>
      </w:r>
      <w:r>
        <w:rPr>
          <w:lang w:val="en-US"/>
        </w:rPr>
        <w:t xml:space="preserve"> </w:t>
      </w:r>
      <w:r>
        <w:rPr>
          <w:i/>
          <w:lang w:val="en-US"/>
        </w:rPr>
        <w:t>A. Ingeborg Myhr</w:t>
      </w:r>
      <w:r>
        <w:rPr>
          <w:lang w:val="en-US"/>
        </w:rPr>
        <w:t xml:space="preserve">, “A Precautionary Approach to Genetically Modified Organisms: Challenges and Implications for Policy and Science ”, Journal of Agricultural and Environmental Ethics, Vol. 23, 2010, </w:t>
      </w:r>
      <w:r>
        <w:t>σ</w:t>
      </w:r>
      <w:r w:rsidRPr="006B6331">
        <w:rPr>
          <w:lang w:val="en-US"/>
        </w:rPr>
        <w:t xml:space="preserve">. 501 </w:t>
      </w:r>
      <w:r>
        <w:t>επ</w:t>
      </w:r>
      <w:r w:rsidRPr="006B6331">
        <w:rPr>
          <w:lang w:val="en-US"/>
        </w:rPr>
        <w:t>.</w:t>
      </w:r>
    </w:p>
  </w:footnote>
  <w:footnote w:id="22">
    <w:p w:rsidR="00742CAF" w:rsidRPr="00225B61" w:rsidRDefault="00742CAF" w:rsidP="00742CAF">
      <w:pPr>
        <w:pStyle w:val="FootnoteText"/>
        <w:rPr>
          <w:lang w:val="en-US"/>
        </w:rPr>
      </w:pPr>
      <w:r>
        <w:rPr>
          <w:rStyle w:val="FootnoteReference"/>
        </w:rPr>
        <w:footnoteRef/>
      </w:r>
      <w:r w:rsidRPr="00225B61">
        <w:rPr>
          <w:lang w:val="en-US"/>
        </w:rPr>
        <w:t xml:space="preserve"> </w:t>
      </w:r>
      <w:r>
        <w:rPr>
          <w:i/>
          <w:lang w:val="en-US"/>
        </w:rPr>
        <w:t>A</w:t>
      </w:r>
      <w:r w:rsidRPr="00225B61">
        <w:rPr>
          <w:i/>
          <w:lang w:val="en-US"/>
        </w:rPr>
        <w:t xml:space="preserve">. </w:t>
      </w:r>
      <w:r>
        <w:rPr>
          <w:i/>
          <w:lang w:val="en-US"/>
        </w:rPr>
        <w:t>Eliason</w:t>
      </w:r>
      <w:r w:rsidRPr="00225B61">
        <w:rPr>
          <w:lang w:val="en-US"/>
        </w:rPr>
        <w:t xml:space="preserve">, </w:t>
      </w:r>
      <w:r>
        <w:t>ό</w:t>
      </w:r>
      <w:r w:rsidRPr="00225B61">
        <w:rPr>
          <w:lang w:val="en-US"/>
        </w:rPr>
        <w:t>.</w:t>
      </w:r>
      <w:r>
        <w:t>π</w:t>
      </w:r>
      <w:r w:rsidRPr="00225B61">
        <w:rPr>
          <w:lang w:val="en-US"/>
        </w:rPr>
        <w:t xml:space="preserve">., </w:t>
      </w:r>
      <w:r>
        <w:t>σ</w:t>
      </w:r>
      <w:r w:rsidRPr="00225B61">
        <w:rPr>
          <w:lang w:val="en-US"/>
        </w:rPr>
        <w:t>. 371.</w:t>
      </w:r>
    </w:p>
  </w:footnote>
  <w:footnote w:id="23">
    <w:p w:rsidR="00742CAF" w:rsidRPr="00263871" w:rsidRDefault="00742CAF" w:rsidP="00742CAF">
      <w:pPr>
        <w:pStyle w:val="FootnoteText"/>
        <w:rPr>
          <w:lang w:val="en-US"/>
        </w:rPr>
      </w:pPr>
      <w:r>
        <w:rPr>
          <w:rStyle w:val="FootnoteReference"/>
        </w:rPr>
        <w:footnoteRef/>
      </w:r>
      <w:r w:rsidRPr="00263871">
        <w:rPr>
          <w:lang w:val="en-US"/>
        </w:rPr>
        <w:t xml:space="preserve"> </w:t>
      </w:r>
      <w:r>
        <w:rPr>
          <w:lang w:val="en-US"/>
        </w:rPr>
        <w:t>African</w:t>
      </w:r>
      <w:r w:rsidRPr="00263871">
        <w:rPr>
          <w:lang w:val="en-US"/>
        </w:rPr>
        <w:t xml:space="preserve"> </w:t>
      </w:r>
      <w:r>
        <w:rPr>
          <w:lang w:val="en-US"/>
        </w:rPr>
        <w:t>Model</w:t>
      </w:r>
      <w:r w:rsidRPr="00263871">
        <w:rPr>
          <w:lang w:val="en-US"/>
        </w:rPr>
        <w:t xml:space="preserve"> </w:t>
      </w:r>
      <w:r>
        <w:rPr>
          <w:lang w:val="en-US"/>
        </w:rPr>
        <w:t>Law</w:t>
      </w:r>
      <w:r w:rsidRPr="00263871">
        <w:rPr>
          <w:lang w:val="en-US"/>
        </w:rPr>
        <w:t xml:space="preserve"> </w:t>
      </w:r>
      <w:r>
        <w:rPr>
          <w:lang w:val="en-US"/>
        </w:rPr>
        <w:t>on</w:t>
      </w:r>
      <w:r w:rsidRPr="00263871">
        <w:rPr>
          <w:lang w:val="en-US"/>
        </w:rPr>
        <w:t xml:space="preserve"> </w:t>
      </w:r>
      <w:r>
        <w:rPr>
          <w:lang w:val="en-US"/>
        </w:rPr>
        <w:t>Safety</w:t>
      </w:r>
      <w:r w:rsidRPr="00263871">
        <w:rPr>
          <w:lang w:val="en-US"/>
        </w:rPr>
        <w:t xml:space="preserve"> </w:t>
      </w:r>
      <w:r>
        <w:rPr>
          <w:lang w:val="en-US"/>
        </w:rPr>
        <w:t>in</w:t>
      </w:r>
      <w:r w:rsidRPr="00263871">
        <w:rPr>
          <w:lang w:val="en-US"/>
        </w:rPr>
        <w:t xml:space="preserve"> </w:t>
      </w:r>
      <w:r>
        <w:rPr>
          <w:lang w:val="en-US"/>
        </w:rPr>
        <w:t>Biotechnology</w:t>
      </w:r>
      <w:r w:rsidRPr="00263871">
        <w:rPr>
          <w:lang w:val="en-US"/>
        </w:rPr>
        <w:t xml:space="preserve">, </w:t>
      </w:r>
      <w:r>
        <w:t>διαθέσιμο</w:t>
      </w:r>
      <w:r w:rsidRPr="00263871">
        <w:rPr>
          <w:lang w:val="en-US"/>
        </w:rPr>
        <w:t xml:space="preserve"> </w:t>
      </w:r>
      <w:r>
        <w:t>στο</w:t>
      </w:r>
      <w:r w:rsidRPr="00263871">
        <w:rPr>
          <w:lang w:val="en-US"/>
        </w:rPr>
        <w:t xml:space="preserve">: </w:t>
      </w:r>
      <w:hyperlink r:id="rId5" w:history="1">
        <w:r w:rsidRPr="001F1836">
          <w:rPr>
            <w:rStyle w:val="Hyperlink"/>
            <w:lang w:val="en-US"/>
          </w:rPr>
          <w:t>http</w:t>
        </w:r>
        <w:r w:rsidRPr="00263871">
          <w:rPr>
            <w:rStyle w:val="Hyperlink"/>
            <w:lang w:val="en-US"/>
          </w:rPr>
          <w:t>://</w:t>
        </w:r>
        <w:r w:rsidRPr="001F1836">
          <w:rPr>
            <w:rStyle w:val="Hyperlink"/>
            <w:lang w:val="en-US"/>
          </w:rPr>
          <w:t>www</w:t>
        </w:r>
        <w:r w:rsidRPr="00263871">
          <w:rPr>
            <w:rStyle w:val="Hyperlink"/>
            <w:lang w:val="en-US"/>
          </w:rPr>
          <w:t>.</w:t>
        </w:r>
        <w:r w:rsidRPr="001F1836">
          <w:rPr>
            <w:rStyle w:val="Hyperlink"/>
            <w:lang w:val="en-US"/>
          </w:rPr>
          <w:t>nepadst</w:t>
        </w:r>
        <w:r w:rsidRPr="00263871">
          <w:rPr>
            <w:rStyle w:val="Hyperlink"/>
            <w:lang w:val="en-US"/>
          </w:rPr>
          <w:t>.</w:t>
        </w:r>
        <w:r w:rsidRPr="001F1836">
          <w:rPr>
            <w:rStyle w:val="Hyperlink"/>
            <w:lang w:val="en-US"/>
          </w:rPr>
          <w:t>org</w:t>
        </w:r>
      </w:hyperlink>
      <w:r w:rsidRPr="00263871">
        <w:rPr>
          <w:lang w:val="en-US"/>
        </w:rPr>
        <w:t xml:space="preserve"> </w:t>
      </w:r>
    </w:p>
  </w:footnote>
  <w:footnote w:id="24">
    <w:p w:rsidR="00742CAF" w:rsidRPr="00C52372" w:rsidRDefault="00742CAF" w:rsidP="00742CAF">
      <w:pPr>
        <w:pStyle w:val="FootnoteText"/>
        <w:jc w:val="both"/>
      </w:pPr>
      <w:r>
        <w:rPr>
          <w:rStyle w:val="FootnoteReference"/>
        </w:rPr>
        <w:footnoteRef/>
      </w:r>
      <w:r w:rsidRPr="00C52372">
        <w:t xml:space="preserve"> </w:t>
      </w:r>
      <w:r>
        <w:t>Βλ., Κανονισμό (ΕΚ) αριθ. 178/2002 του Ευρωπαϊκού Κοινοβουλίου και του Συμβουλίου της 28</w:t>
      </w:r>
      <w:r w:rsidRPr="00C52372">
        <w:rPr>
          <w:vertAlign w:val="superscript"/>
        </w:rPr>
        <w:t>ης</w:t>
      </w:r>
      <w:r>
        <w:t xml:space="preserve"> Ιανουαρίου 2002 για τον καθορισμό των γενικών αρχών και απαιτήσεων της νομοθεσίας για τα τρόφιμα, για ην ίδρυση της Ευρωπαϊκής Αρχής για την Ασφάλεια των Τροφίμων και τον καθορισμό διαδικασιών σε θέματα ασφάλειας των τροφίμων, ΕΕ </w:t>
      </w:r>
      <w:r>
        <w:rPr>
          <w:lang w:val="en-US"/>
        </w:rPr>
        <w:t>L</w:t>
      </w:r>
      <w:r w:rsidRPr="00C52372">
        <w:t xml:space="preserve"> </w:t>
      </w:r>
      <w:r>
        <w:rPr>
          <w:lang w:val="en-US"/>
        </w:rPr>
        <w:t>L</w:t>
      </w:r>
      <w:r w:rsidRPr="00C52372">
        <w:t xml:space="preserve"> </w:t>
      </w:r>
      <w:r>
        <w:t>31/1 της 1.2.2002, αιτιολογική σκέψη αριθ. 19: «Αναγνωρίζεται ότι η επιστημονική αξιολόγηση του κινδύνου δεν μπορεί μόνη της, σε ορισμένες περιπτώσεις να παρέχει όλες τις πληροφορίες στις οποίες θα βασιστεί μια απόφαση για τη διαχείριση του κινδύνου, και ότι άλλοι παράγοντες που είναι σχετικοί με το θέμα πρέπει να λαμβάνονται υπόψη συμπεριλαμβανομένων, μεταξύ άλλων, κοινωνικών, οικονομικών, παραδοσιακών, δεοντολογικών και περιβαλλοντικών παραγόντων και της ικανότητας διεξαγωγής ελέγχων.»</w:t>
      </w:r>
    </w:p>
  </w:footnote>
  <w:footnote w:id="25">
    <w:p w:rsidR="00742CAF" w:rsidRDefault="00742CAF" w:rsidP="00742CAF">
      <w:pPr>
        <w:pStyle w:val="FootnoteText"/>
        <w:jc w:val="both"/>
      </w:pPr>
      <w:r>
        <w:rPr>
          <w:rStyle w:val="FootnoteReference"/>
        </w:rPr>
        <w:footnoteRef/>
      </w:r>
      <w:r>
        <w:t xml:space="preserve"> </w:t>
      </w:r>
      <w:r w:rsidRPr="005B31B3">
        <w:t>Οδηγία 2001/18/ΕΚ του Ευρωπαϊκού Κοινοβουλίου και του Συμβουλίου, της 12</w:t>
      </w:r>
      <w:r w:rsidRPr="005B31B3">
        <w:rPr>
          <w:vertAlign w:val="superscript"/>
        </w:rPr>
        <w:t>ης</w:t>
      </w:r>
      <w:r w:rsidRPr="005B31B3">
        <w:t xml:space="preserve"> Μαρτίου 2001, για τη σκόπιμη απελευθέρωση γενετικώς τροποποιημένων οργανισμών στο περιβάλλον και την κατάργηση της οδηγίας </w:t>
      </w:r>
      <w:r>
        <w:t>90/220/ΕΟΚ του Συμβουλίου,  ΕΕ</w:t>
      </w:r>
      <w:r w:rsidRPr="005B31B3">
        <w:t xml:space="preserve"> </w:t>
      </w:r>
      <w:r w:rsidRPr="005B31B3">
        <w:rPr>
          <w:lang w:val="en-US"/>
        </w:rPr>
        <w:t>L</w:t>
      </w:r>
      <w:r w:rsidRPr="005B31B3">
        <w:t xml:space="preserve"> 106</w:t>
      </w:r>
      <w:r>
        <w:t>/1, 17.4.2001.</w:t>
      </w:r>
    </w:p>
  </w:footnote>
  <w:footnote w:id="26">
    <w:p w:rsidR="00742CAF" w:rsidRPr="00742CAF" w:rsidRDefault="00742CAF" w:rsidP="00742CAF">
      <w:pPr>
        <w:pStyle w:val="FootnoteText"/>
        <w:jc w:val="both"/>
        <w:rPr>
          <w:lang w:val="fr-FR"/>
        </w:rPr>
      </w:pPr>
      <w:r>
        <w:rPr>
          <w:rStyle w:val="FootnoteReference"/>
        </w:rPr>
        <w:footnoteRef/>
      </w:r>
      <w:r w:rsidRPr="00D82DCB">
        <w:t xml:space="preserve"> </w:t>
      </w:r>
      <w:r>
        <w:t xml:space="preserve">Πρόταση Κανονισμού του Ευρωπαϊκού Κοινοβουλίου και του Συμβουλίου για την τροποποίηση της οδηγίας 2001/18/ΕΚ όσον αφορά τη δυνατότητα που παρέχεται στα κράτη μέλη να περιορίζουν ή να απαγορεύουν την καλλιέργεια ΓΤΟ στην επικράτειά τους, </w:t>
      </w:r>
      <w:r>
        <w:rPr>
          <w:lang w:val="en-US"/>
        </w:rPr>
        <w:t>COM</w:t>
      </w:r>
      <w:r w:rsidRPr="00D82DCB">
        <w:t xml:space="preserve"> 2010 (375) </w:t>
      </w:r>
      <w:r>
        <w:t>τελικό, Βρυξέλλες, 13.7.2010. Αναλυτικότερα</w:t>
      </w:r>
      <w:r w:rsidRPr="00742CAF">
        <w:rPr>
          <w:lang w:val="fr-FR"/>
        </w:rPr>
        <w:t xml:space="preserve">, </w:t>
      </w:r>
      <w:r>
        <w:t>για</w:t>
      </w:r>
      <w:r w:rsidRPr="00742CAF">
        <w:rPr>
          <w:lang w:val="fr-FR"/>
        </w:rPr>
        <w:t xml:space="preserve"> </w:t>
      </w:r>
      <w:r>
        <w:t>το</w:t>
      </w:r>
      <w:r w:rsidRPr="00742CAF">
        <w:rPr>
          <w:lang w:val="fr-FR"/>
        </w:rPr>
        <w:t xml:space="preserve"> </w:t>
      </w:r>
      <w:r>
        <w:t>ζήτημα</w:t>
      </w:r>
      <w:r w:rsidRPr="00742CAF">
        <w:rPr>
          <w:lang w:val="fr-FR"/>
        </w:rPr>
        <w:t xml:space="preserve"> </w:t>
      </w:r>
      <w:r>
        <w:t>αυτό</w:t>
      </w:r>
      <w:r w:rsidRPr="00742CAF">
        <w:rPr>
          <w:lang w:val="fr-FR"/>
        </w:rPr>
        <w:t xml:space="preserve"> </w:t>
      </w:r>
      <w:r>
        <w:t>κατωτέρω</w:t>
      </w:r>
      <w:r w:rsidRPr="00742CAF">
        <w:rPr>
          <w:lang w:val="fr-FR"/>
        </w:rPr>
        <w:t>.</w:t>
      </w:r>
    </w:p>
  </w:footnote>
  <w:footnote w:id="27">
    <w:p w:rsidR="00742CAF" w:rsidRPr="005B31B3" w:rsidRDefault="00742CAF" w:rsidP="00742CAF">
      <w:pPr>
        <w:pStyle w:val="FootnoteText"/>
        <w:jc w:val="both"/>
        <w:rPr>
          <w:lang w:val="fr-FR"/>
        </w:rPr>
      </w:pPr>
      <w:r w:rsidRPr="005B31B3">
        <w:rPr>
          <w:rStyle w:val="FootnoteReference"/>
        </w:rPr>
        <w:footnoteRef/>
      </w:r>
      <w:r w:rsidRPr="005B31B3">
        <w:rPr>
          <w:lang w:val="fr-FR"/>
        </w:rPr>
        <w:t xml:space="preserve"> </w:t>
      </w:r>
      <w:r w:rsidRPr="005B31B3">
        <w:rPr>
          <w:i/>
          <w:lang w:val="fr-FR"/>
        </w:rPr>
        <w:t>G. Paillotin, D. Rousset</w:t>
      </w:r>
      <w:r w:rsidRPr="005B31B3">
        <w:rPr>
          <w:lang w:val="fr-FR"/>
        </w:rPr>
        <w:t xml:space="preserve">, ‘‘Tais-toi et mange!’’, L’agriculteur, le scientifique et le consommateur, Paris, Bayard, 1999, </w:t>
      </w:r>
      <w:r w:rsidRPr="005B31B3">
        <w:t>σ</w:t>
      </w:r>
      <w:r w:rsidRPr="005B31B3">
        <w:rPr>
          <w:lang w:val="fr-FR"/>
        </w:rPr>
        <w:t xml:space="preserve">. 97-108. </w:t>
      </w:r>
    </w:p>
  </w:footnote>
  <w:footnote w:id="28">
    <w:p w:rsidR="00742CAF" w:rsidRPr="005B31B3" w:rsidRDefault="00742CAF" w:rsidP="00742CAF">
      <w:pPr>
        <w:pStyle w:val="FootnoteText"/>
        <w:jc w:val="both"/>
        <w:rPr>
          <w:lang w:val="de-DE"/>
        </w:rPr>
      </w:pPr>
      <w:r w:rsidRPr="005B31B3">
        <w:rPr>
          <w:rStyle w:val="FootnoteReference"/>
        </w:rPr>
        <w:footnoteRef/>
      </w:r>
      <w:r w:rsidRPr="005B31B3">
        <w:rPr>
          <w:lang w:val="de-DE"/>
        </w:rPr>
        <w:t xml:space="preserve"> </w:t>
      </w:r>
      <w:r w:rsidRPr="00605F92">
        <w:rPr>
          <w:i/>
          <w:lang w:val="de-DE"/>
        </w:rPr>
        <w:t>Ibid.</w:t>
      </w:r>
      <w:r w:rsidRPr="005B31B3">
        <w:rPr>
          <w:lang w:val="de-DE"/>
        </w:rPr>
        <w:t xml:space="preserve">, </w:t>
      </w:r>
      <w:r w:rsidRPr="005B31B3">
        <w:t>σ</w:t>
      </w:r>
      <w:r w:rsidRPr="005B31B3">
        <w:rPr>
          <w:lang w:val="de-DE"/>
        </w:rPr>
        <w:t>. 104.</w:t>
      </w:r>
    </w:p>
  </w:footnote>
  <w:footnote w:id="29">
    <w:p w:rsidR="00742CAF" w:rsidRPr="005B31B3" w:rsidRDefault="00742CAF" w:rsidP="00742CAF">
      <w:pPr>
        <w:pStyle w:val="FootnoteText"/>
        <w:jc w:val="both"/>
        <w:rPr>
          <w:lang w:val="en-GB"/>
        </w:rPr>
      </w:pPr>
      <w:r w:rsidRPr="005B31B3">
        <w:rPr>
          <w:rStyle w:val="FootnoteReference"/>
        </w:rPr>
        <w:footnoteRef/>
      </w:r>
      <w:r w:rsidRPr="005B31B3">
        <w:rPr>
          <w:lang w:val="fr-FR"/>
        </w:rPr>
        <w:t xml:space="preserve"> </w:t>
      </w:r>
      <w:r w:rsidRPr="005B31B3">
        <w:rPr>
          <w:i/>
          <w:lang w:val="fr-FR"/>
        </w:rPr>
        <w:t>Axel Kahn</w:t>
      </w:r>
      <w:r w:rsidRPr="005B31B3">
        <w:rPr>
          <w:lang w:val="fr-FR"/>
        </w:rPr>
        <w:t xml:space="preserve">, ‘‘Génie génétique, agriculture et alimentation: entre peurs et espoirs’’, in: M. Apfelbaum (dir.), Risques et peurs alimentaires, Paris, Editions Odile Jacob, 1998, </w:t>
      </w:r>
      <w:r w:rsidRPr="005B31B3">
        <w:t>σ</w:t>
      </w:r>
      <w:r w:rsidRPr="005B31B3">
        <w:rPr>
          <w:lang w:val="fr-FR"/>
        </w:rPr>
        <w:t xml:space="preserve">. 59-60. </w:t>
      </w:r>
      <w:r w:rsidRPr="005B31B3">
        <w:rPr>
          <w:bCs/>
          <w:i/>
          <w:lang w:val="en-GB"/>
        </w:rPr>
        <w:t>H.I. Miller, G. Conko</w:t>
      </w:r>
      <w:r w:rsidRPr="005B31B3">
        <w:rPr>
          <w:bCs/>
          <w:lang w:val="en-GB"/>
        </w:rPr>
        <w:t>, ‘‘</w:t>
      </w:r>
      <w:r w:rsidRPr="005B31B3">
        <w:rPr>
          <w:lang w:val="en-US"/>
        </w:rPr>
        <w:t>Genetically</w:t>
      </w:r>
      <w:r w:rsidRPr="005B31B3">
        <w:rPr>
          <w:lang w:val="en-GB"/>
        </w:rPr>
        <w:t xml:space="preserve"> </w:t>
      </w:r>
      <w:r w:rsidRPr="005B31B3">
        <w:rPr>
          <w:lang w:val="en-US"/>
        </w:rPr>
        <w:t>modified</w:t>
      </w:r>
      <w:r w:rsidRPr="005B31B3">
        <w:rPr>
          <w:lang w:val="en-GB"/>
        </w:rPr>
        <w:t xml:space="preserve"> </w:t>
      </w:r>
      <w:r w:rsidRPr="005B31B3">
        <w:rPr>
          <w:lang w:val="en-US"/>
        </w:rPr>
        <w:t>fear</w:t>
      </w:r>
      <w:r w:rsidRPr="005B31B3">
        <w:rPr>
          <w:lang w:val="en-GB"/>
        </w:rPr>
        <w:t xml:space="preserve"> </w:t>
      </w:r>
      <w:r w:rsidRPr="005B31B3">
        <w:rPr>
          <w:lang w:val="en-US"/>
        </w:rPr>
        <w:t>and</w:t>
      </w:r>
      <w:r w:rsidRPr="005B31B3">
        <w:rPr>
          <w:lang w:val="en-GB"/>
        </w:rPr>
        <w:t xml:space="preserve"> </w:t>
      </w:r>
      <w:r w:rsidRPr="005B31B3">
        <w:rPr>
          <w:lang w:val="en-US"/>
        </w:rPr>
        <w:t>the</w:t>
      </w:r>
      <w:r w:rsidRPr="005B31B3">
        <w:rPr>
          <w:lang w:val="en-GB"/>
        </w:rPr>
        <w:t xml:space="preserve"> international </w:t>
      </w:r>
      <w:r w:rsidRPr="005B31B3">
        <w:rPr>
          <w:lang w:val="en-US"/>
        </w:rPr>
        <w:t>regulation</w:t>
      </w:r>
      <w:r w:rsidRPr="005B31B3">
        <w:rPr>
          <w:lang w:val="en-GB"/>
        </w:rPr>
        <w:t xml:space="preserve"> of </w:t>
      </w:r>
      <w:r w:rsidRPr="005B31B3">
        <w:rPr>
          <w:lang w:val="en-US"/>
        </w:rPr>
        <w:t>biotechnology”</w:t>
      </w:r>
      <w:r w:rsidRPr="005B31B3">
        <w:rPr>
          <w:lang w:val="en-GB"/>
        </w:rPr>
        <w:t xml:space="preserve">, </w:t>
      </w:r>
      <w:r w:rsidRPr="005B31B3">
        <w:rPr>
          <w:lang w:val="en-US"/>
        </w:rPr>
        <w:t>in : J. Morris (ed.), Rethinking Risk and Precautionary Principle, Oxford, Butterworth-Heinemann, 2000,</w:t>
      </w:r>
      <w:r w:rsidRPr="005B31B3">
        <w:rPr>
          <w:lang w:val="en-GB"/>
        </w:rPr>
        <w:t xml:space="preserve"> </w:t>
      </w:r>
      <w:r w:rsidRPr="005B31B3">
        <w:t>σ</w:t>
      </w:r>
      <w:r w:rsidRPr="005B31B3">
        <w:rPr>
          <w:lang w:val="en-GB"/>
        </w:rPr>
        <w:t xml:space="preserve">.103. </w:t>
      </w:r>
    </w:p>
  </w:footnote>
  <w:footnote w:id="30">
    <w:p w:rsidR="00742CAF" w:rsidRPr="005B31B3" w:rsidRDefault="00742CAF" w:rsidP="00742CAF">
      <w:pPr>
        <w:pStyle w:val="FootnoteText"/>
        <w:jc w:val="both"/>
        <w:rPr>
          <w:lang w:val="en-US"/>
        </w:rPr>
      </w:pPr>
      <w:r w:rsidRPr="005B31B3">
        <w:rPr>
          <w:rStyle w:val="FootnoteReference"/>
        </w:rPr>
        <w:footnoteRef/>
      </w:r>
      <w:r w:rsidRPr="005B31B3">
        <w:rPr>
          <w:lang w:val="en-US"/>
        </w:rPr>
        <w:t xml:space="preserve"> </w:t>
      </w:r>
      <w:r w:rsidRPr="005B31B3">
        <w:rPr>
          <w:i/>
          <w:lang w:val="en-US"/>
        </w:rPr>
        <w:t>W. Brill</w:t>
      </w:r>
      <w:r w:rsidRPr="005B31B3">
        <w:rPr>
          <w:lang w:val="en-US"/>
        </w:rPr>
        <w:t xml:space="preserve">, “Safety concerns and genetic engineering in agriculture”, Science, 227, </w:t>
      </w:r>
      <w:r w:rsidRPr="005B31B3">
        <w:t>Ιανουάριος</w:t>
      </w:r>
      <w:r w:rsidRPr="005B31B3">
        <w:rPr>
          <w:lang w:val="en-US"/>
        </w:rPr>
        <w:t xml:space="preserve"> 1985, </w:t>
      </w:r>
      <w:r w:rsidRPr="005B31B3">
        <w:t>σ</w:t>
      </w:r>
      <w:r w:rsidRPr="005B31B3">
        <w:rPr>
          <w:lang w:val="en-US"/>
        </w:rPr>
        <w:t xml:space="preserve">. 381. </w:t>
      </w:r>
    </w:p>
  </w:footnote>
  <w:footnote w:id="31">
    <w:p w:rsidR="00742CAF" w:rsidRPr="005B31B3" w:rsidRDefault="00742CAF" w:rsidP="00742CAF">
      <w:pPr>
        <w:pStyle w:val="FootnoteText"/>
        <w:jc w:val="both"/>
        <w:rPr>
          <w:lang w:val="en-US"/>
        </w:rPr>
      </w:pPr>
      <w:r w:rsidRPr="005B31B3">
        <w:rPr>
          <w:rStyle w:val="FootnoteReference"/>
        </w:rPr>
        <w:footnoteRef/>
      </w:r>
      <w:r w:rsidRPr="005B31B3">
        <w:rPr>
          <w:lang w:val="en-US"/>
        </w:rPr>
        <w:t xml:space="preserve"> </w:t>
      </w:r>
      <w:r w:rsidRPr="005B31B3">
        <w:rPr>
          <w:bCs/>
          <w:i/>
          <w:lang w:val="en-US"/>
        </w:rPr>
        <w:t>G.E. Marchant</w:t>
      </w:r>
      <w:r w:rsidRPr="005B31B3">
        <w:rPr>
          <w:lang w:val="en-US"/>
        </w:rPr>
        <w:t xml:space="preserve">, “The precautionary principle: an ‘unprincipled’ approach to biotechnology regulation”, </w:t>
      </w:r>
      <w:r>
        <w:rPr>
          <w:lang w:val="en-US"/>
        </w:rPr>
        <w:t>Journal of Risk Research, Vol.4</w:t>
      </w:r>
      <w:r w:rsidRPr="005B31B3">
        <w:rPr>
          <w:lang w:val="en-US"/>
        </w:rPr>
        <w:t xml:space="preserve">(2), 2001, </w:t>
      </w:r>
      <w:r w:rsidRPr="005B31B3">
        <w:t>σ</w:t>
      </w:r>
      <w:r w:rsidRPr="005B31B3">
        <w:rPr>
          <w:lang w:val="en-US"/>
        </w:rPr>
        <w:t>. 143-157.</w:t>
      </w:r>
    </w:p>
  </w:footnote>
  <w:footnote w:id="32">
    <w:p w:rsidR="00742CAF" w:rsidRPr="00F401F7" w:rsidRDefault="00742CAF" w:rsidP="00742CAF">
      <w:pPr>
        <w:pStyle w:val="FootnoteText"/>
        <w:jc w:val="both"/>
        <w:rPr>
          <w:lang w:val="en-US"/>
        </w:rPr>
      </w:pPr>
      <w:r>
        <w:rPr>
          <w:rStyle w:val="FootnoteReference"/>
        </w:rPr>
        <w:footnoteRef/>
      </w:r>
      <w:r w:rsidRPr="00F401F7">
        <w:rPr>
          <w:lang w:val="en-US"/>
        </w:rPr>
        <w:t xml:space="preserve"> </w:t>
      </w:r>
      <w:r>
        <w:t>Για</w:t>
      </w:r>
      <w:r w:rsidRPr="00F401F7">
        <w:rPr>
          <w:lang w:val="en-US"/>
        </w:rPr>
        <w:t xml:space="preserve"> </w:t>
      </w:r>
      <w:r>
        <w:t>το</w:t>
      </w:r>
      <w:r w:rsidRPr="00F401F7">
        <w:rPr>
          <w:lang w:val="en-US"/>
        </w:rPr>
        <w:t xml:space="preserve"> </w:t>
      </w:r>
      <w:r>
        <w:t>ζήτημα</w:t>
      </w:r>
      <w:r w:rsidRPr="00F401F7">
        <w:rPr>
          <w:lang w:val="en-US"/>
        </w:rPr>
        <w:t xml:space="preserve">, </w:t>
      </w:r>
      <w:r>
        <w:t>βλ</w:t>
      </w:r>
      <w:r w:rsidRPr="00F401F7">
        <w:rPr>
          <w:lang w:val="en-US"/>
        </w:rPr>
        <w:t xml:space="preserve">., </w:t>
      </w:r>
      <w:r>
        <w:t>αντί</w:t>
      </w:r>
      <w:r w:rsidRPr="00F401F7">
        <w:rPr>
          <w:lang w:val="en-US"/>
        </w:rPr>
        <w:t xml:space="preserve"> </w:t>
      </w:r>
      <w:r>
        <w:t>πολλών</w:t>
      </w:r>
      <w:r w:rsidRPr="00F401F7">
        <w:rPr>
          <w:lang w:val="en-US"/>
        </w:rPr>
        <w:t xml:space="preserve">, </w:t>
      </w:r>
      <w:r>
        <w:rPr>
          <w:i/>
          <w:lang w:val="en-US"/>
        </w:rPr>
        <w:t>M</w:t>
      </w:r>
      <w:r w:rsidRPr="00F401F7">
        <w:rPr>
          <w:i/>
          <w:lang w:val="en-US"/>
        </w:rPr>
        <w:t xml:space="preserve">. </w:t>
      </w:r>
      <w:r>
        <w:rPr>
          <w:i/>
          <w:lang w:val="en-US"/>
        </w:rPr>
        <w:t>Rosso</w:t>
      </w:r>
      <w:r w:rsidRPr="00F401F7">
        <w:rPr>
          <w:i/>
          <w:lang w:val="en-US"/>
        </w:rPr>
        <w:t xml:space="preserve"> </w:t>
      </w:r>
      <w:r>
        <w:rPr>
          <w:i/>
          <w:lang w:val="en-US"/>
        </w:rPr>
        <w:t>Grossman</w:t>
      </w:r>
      <w:r>
        <w:rPr>
          <w:lang w:val="en-US"/>
        </w:rPr>
        <w:t xml:space="preserve">, “Protecting Health, Environment and Agriculture: Authorization of Genetically Modified Crops and Food in the United States and the European Union”, Deakin Law Review, Vol. 14(2), 2009, </w:t>
      </w:r>
      <w:r>
        <w:t>σ</w:t>
      </w:r>
      <w:r w:rsidRPr="00F401F7">
        <w:rPr>
          <w:lang w:val="en-US"/>
        </w:rPr>
        <w:t xml:space="preserve">. 257 </w:t>
      </w:r>
      <w:r>
        <w:t>επ</w:t>
      </w:r>
      <w:r w:rsidRPr="00F401F7">
        <w:rPr>
          <w:lang w:val="en-US"/>
        </w:rPr>
        <w:t>.</w:t>
      </w:r>
    </w:p>
  </w:footnote>
  <w:footnote w:id="33">
    <w:p w:rsidR="00742CAF" w:rsidRPr="005B31B3" w:rsidRDefault="00742CAF" w:rsidP="00742CAF">
      <w:pPr>
        <w:pStyle w:val="FootnoteText"/>
        <w:jc w:val="both"/>
        <w:rPr>
          <w:lang w:val="en-GB"/>
        </w:rPr>
      </w:pPr>
      <w:r w:rsidRPr="005B31B3">
        <w:rPr>
          <w:rStyle w:val="FootnoteReference"/>
        </w:rPr>
        <w:footnoteRef/>
      </w:r>
      <w:r w:rsidRPr="005B31B3">
        <w:rPr>
          <w:lang w:val="en-GB"/>
        </w:rPr>
        <w:t xml:space="preserve"> </w:t>
      </w:r>
      <w:r w:rsidRPr="005B31B3">
        <w:rPr>
          <w:i/>
          <w:lang w:val="en-US"/>
        </w:rPr>
        <w:t>A. Spok</w:t>
      </w:r>
      <w:r w:rsidRPr="005B31B3">
        <w:rPr>
          <w:lang w:val="en-US"/>
        </w:rPr>
        <w:t xml:space="preserve">, “Suggestions for the assessment of the allergenic potential of genetically modified organisms”, International Archives of Allergy and Immunology, Vol. 137, 2005, σ. </w:t>
      </w:r>
      <w:r w:rsidRPr="005B31B3">
        <w:rPr>
          <w:lang w:val="en-GB"/>
        </w:rPr>
        <w:t xml:space="preserve">167-180. </w:t>
      </w:r>
      <w:r w:rsidRPr="005B31B3">
        <w:rPr>
          <w:i/>
        </w:rPr>
        <w:t>Δ</w:t>
      </w:r>
      <w:r w:rsidRPr="005B31B3">
        <w:rPr>
          <w:i/>
          <w:lang w:val="en-GB"/>
        </w:rPr>
        <w:t xml:space="preserve">. </w:t>
      </w:r>
      <w:r w:rsidRPr="005B31B3">
        <w:rPr>
          <w:i/>
        </w:rPr>
        <w:t>Κουρέτα</w:t>
      </w:r>
      <w:r w:rsidRPr="005B31B3">
        <w:rPr>
          <w:i/>
          <w:lang w:val="en-GB"/>
        </w:rPr>
        <w:t>,</w:t>
      </w:r>
      <w:r w:rsidRPr="005B31B3">
        <w:rPr>
          <w:lang w:val="en-GB"/>
        </w:rPr>
        <w:t xml:space="preserve"> </w:t>
      </w:r>
      <w:r w:rsidRPr="005B31B3">
        <w:t>Μεταλλαγμένα</w:t>
      </w:r>
      <w:r w:rsidRPr="005B31B3">
        <w:rPr>
          <w:lang w:val="en-GB"/>
        </w:rPr>
        <w:t xml:space="preserve"> </w:t>
      </w:r>
      <w:r w:rsidRPr="005B31B3">
        <w:t>προϊόντα</w:t>
      </w:r>
      <w:r w:rsidRPr="005B31B3">
        <w:rPr>
          <w:lang w:val="en-GB"/>
        </w:rPr>
        <w:t xml:space="preserve">, </w:t>
      </w:r>
      <w:r w:rsidRPr="005B31B3">
        <w:t>Σέρρες</w:t>
      </w:r>
      <w:r w:rsidRPr="005B31B3">
        <w:rPr>
          <w:lang w:val="en-GB"/>
        </w:rPr>
        <w:t xml:space="preserve">, 2004, </w:t>
      </w:r>
      <w:r w:rsidRPr="005B31B3">
        <w:t>σ</w:t>
      </w:r>
      <w:r w:rsidRPr="005B31B3">
        <w:rPr>
          <w:lang w:val="en-GB"/>
        </w:rPr>
        <w:t xml:space="preserve">. 19 </w:t>
      </w:r>
      <w:r w:rsidRPr="005B31B3">
        <w:t>επ</w:t>
      </w:r>
      <w:r w:rsidRPr="005B31B3">
        <w:rPr>
          <w:lang w:val="en-GB"/>
        </w:rPr>
        <w:t>.</w:t>
      </w:r>
    </w:p>
  </w:footnote>
  <w:footnote w:id="34">
    <w:p w:rsidR="00742CAF" w:rsidRPr="005B31B3" w:rsidRDefault="00742CAF" w:rsidP="00742CAF">
      <w:pPr>
        <w:pStyle w:val="FootnoteText"/>
        <w:jc w:val="both"/>
      </w:pPr>
      <w:r w:rsidRPr="005B31B3">
        <w:rPr>
          <w:rStyle w:val="FootnoteReference"/>
        </w:rPr>
        <w:footnoteRef/>
      </w:r>
      <w:r w:rsidRPr="00957BE0">
        <w:rPr>
          <w:lang w:val="en-GB"/>
        </w:rPr>
        <w:t xml:space="preserve"> </w:t>
      </w:r>
      <w:r w:rsidRPr="00957BE0">
        <w:rPr>
          <w:i/>
          <w:lang w:val="en-GB"/>
        </w:rPr>
        <w:t>G. Paillotin, D. Rousset</w:t>
      </w:r>
      <w:r w:rsidRPr="00957BE0">
        <w:rPr>
          <w:lang w:val="en-GB"/>
        </w:rPr>
        <w:t xml:space="preserve">, </w:t>
      </w:r>
      <w:r w:rsidRPr="005B31B3">
        <w:t>ό</w:t>
      </w:r>
      <w:r w:rsidRPr="00957BE0">
        <w:rPr>
          <w:lang w:val="en-GB"/>
        </w:rPr>
        <w:t>.</w:t>
      </w:r>
      <w:r w:rsidRPr="005B31B3">
        <w:t>π</w:t>
      </w:r>
      <w:r w:rsidRPr="00957BE0">
        <w:rPr>
          <w:lang w:val="en-GB"/>
        </w:rPr>
        <w:t xml:space="preserve">., </w:t>
      </w:r>
      <w:r w:rsidRPr="005B31B3">
        <w:t>σ</w:t>
      </w:r>
      <w:r w:rsidRPr="00957BE0">
        <w:rPr>
          <w:lang w:val="en-GB"/>
        </w:rPr>
        <w:t xml:space="preserve">. 99-103, </w:t>
      </w:r>
      <w:r w:rsidRPr="00957BE0">
        <w:rPr>
          <w:i/>
          <w:lang w:val="en-GB"/>
        </w:rPr>
        <w:t>D. Bodin-Rodier</w:t>
      </w:r>
      <w:r w:rsidRPr="00957BE0">
        <w:rPr>
          <w:lang w:val="en-GB"/>
        </w:rPr>
        <w:t xml:space="preserve">, ‘‘Les plantes du futur’’, Futuribles, 218, 1997, </w:t>
      </w:r>
      <w:r w:rsidRPr="005B31B3">
        <w:t>σ</w:t>
      </w:r>
      <w:r w:rsidRPr="00957BE0">
        <w:rPr>
          <w:lang w:val="en-GB"/>
        </w:rPr>
        <w:t>.16-</w:t>
      </w:r>
      <w:smartTag w:uri="urn:schemas-microsoft-com:office:smarttags" w:element="metricconverter">
        <w:smartTagPr>
          <w:attr w:name="ProductID" w:val="17. A"/>
        </w:smartTagPr>
        <w:r w:rsidRPr="00957BE0">
          <w:rPr>
            <w:lang w:val="en-GB"/>
          </w:rPr>
          <w:t xml:space="preserve">17. </w:t>
        </w:r>
        <w:r w:rsidRPr="005B31B3">
          <w:rPr>
            <w:i/>
            <w:lang w:val="en-GB"/>
          </w:rPr>
          <w:t>A</w:t>
        </w:r>
      </w:smartTag>
      <w:r w:rsidRPr="005B31B3">
        <w:rPr>
          <w:i/>
          <w:lang w:val="en-GB"/>
        </w:rPr>
        <w:t>. Ingeborg Myhr</w:t>
      </w:r>
      <w:r w:rsidRPr="005B31B3">
        <w:rPr>
          <w:lang w:val="en-GB"/>
        </w:rPr>
        <w:t xml:space="preserve">, ‘‘Uncertainty and Precaution: Challenges and Implications for Science and the Policy of Genetically Modified Organisms” in: N. de Sadeleer (ed.), </w:t>
      </w:r>
      <w:r w:rsidRPr="005B31B3">
        <w:rPr>
          <w:lang w:val="en-US"/>
        </w:rPr>
        <w:t>Implementing the Precautionary Principle</w:t>
      </w:r>
      <w:r w:rsidRPr="005B31B3">
        <w:rPr>
          <w:lang w:val="en-GB"/>
        </w:rPr>
        <w:t xml:space="preserve">, London, Earthscan, 2007, </w:t>
      </w:r>
      <w:r w:rsidRPr="005B31B3">
        <w:rPr>
          <w:lang w:val="fr-FR"/>
        </w:rPr>
        <w:t>σ</w:t>
      </w:r>
      <w:r w:rsidRPr="005B31B3">
        <w:rPr>
          <w:lang w:val="en-GB"/>
        </w:rPr>
        <w:t xml:space="preserve">. 187-188. </w:t>
      </w:r>
      <w:r w:rsidRPr="005B31B3">
        <w:t>Βλ</w:t>
      </w:r>
      <w:r w:rsidRPr="005B31B3">
        <w:rPr>
          <w:lang w:val="en-GB"/>
        </w:rPr>
        <w:t xml:space="preserve">. </w:t>
      </w:r>
      <w:r w:rsidRPr="005B31B3">
        <w:t>επίσης</w:t>
      </w:r>
      <w:r w:rsidRPr="005B31B3">
        <w:rPr>
          <w:lang w:val="en-GB"/>
        </w:rPr>
        <w:t xml:space="preserve"> </w:t>
      </w:r>
      <w:r w:rsidRPr="005B31B3">
        <w:t>τα</w:t>
      </w:r>
      <w:r w:rsidRPr="005B31B3">
        <w:rPr>
          <w:lang w:val="en-GB"/>
        </w:rPr>
        <w:t xml:space="preserve"> </w:t>
      </w:r>
      <w:r w:rsidRPr="005B31B3">
        <w:t>πορίσματα</w:t>
      </w:r>
      <w:r w:rsidRPr="005B31B3">
        <w:rPr>
          <w:lang w:val="en-GB"/>
        </w:rPr>
        <w:t xml:space="preserve"> </w:t>
      </w:r>
      <w:r w:rsidRPr="005B31B3">
        <w:t>της</w:t>
      </w:r>
      <w:r w:rsidRPr="005B31B3">
        <w:rPr>
          <w:lang w:val="en-GB"/>
        </w:rPr>
        <w:t xml:space="preserve"> </w:t>
      </w:r>
      <w:r w:rsidRPr="005B31B3">
        <w:t>μεγάλης</w:t>
      </w:r>
      <w:r w:rsidRPr="005B31B3">
        <w:rPr>
          <w:lang w:val="en-GB"/>
        </w:rPr>
        <w:t xml:space="preserve"> </w:t>
      </w:r>
      <w:r w:rsidRPr="005B31B3">
        <w:t>έρευνας</w:t>
      </w:r>
      <w:r w:rsidRPr="005B31B3">
        <w:rPr>
          <w:lang w:val="en-GB"/>
        </w:rPr>
        <w:t xml:space="preserve"> </w:t>
      </w:r>
      <w:r w:rsidRPr="005B31B3">
        <w:t>πεδίου</w:t>
      </w:r>
      <w:r w:rsidRPr="005B31B3">
        <w:rPr>
          <w:lang w:val="en-GB"/>
        </w:rPr>
        <w:t xml:space="preserve"> </w:t>
      </w:r>
      <w:r w:rsidRPr="005B31B3">
        <w:t>που</w:t>
      </w:r>
      <w:r w:rsidRPr="005B31B3">
        <w:rPr>
          <w:lang w:val="en-GB"/>
        </w:rPr>
        <w:t xml:space="preserve"> </w:t>
      </w:r>
      <w:r w:rsidRPr="005B31B3">
        <w:t>διεξήχθη</w:t>
      </w:r>
      <w:r w:rsidRPr="005B31B3">
        <w:rPr>
          <w:lang w:val="en-GB"/>
        </w:rPr>
        <w:t xml:space="preserve"> </w:t>
      </w:r>
      <w:r w:rsidRPr="005B31B3">
        <w:t>στη</w:t>
      </w:r>
      <w:r w:rsidRPr="005B31B3">
        <w:rPr>
          <w:lang w:val="en-GB"/>
        </w:rPr>
        <w:t xml:space="preserve"> </w:t>
      </w:r>
      <w:r w:rsidRPr="005B31B3">
        <w:t>Μ</w:t>
      </w:r>
      <w:r w:rsidRPr="005B31B3">
        <w:rPr>
          <w:lang w:val="en-GB"/>
        </w:rPr>
        <w:t xml:space="preserve">. </w:t>
      </w:r>
      <w:r w:rsidRPr="005B31B3">
        <w:t>Βρετανία</w:t>
      </w:r>
      <w:r w:rsidRPr="005B31B3">
        <w:rPr>
          <w:lang w:val="en-GB"/>
        </w:rPr>
        <w:t xml:space="preserve">, The Farm Scale Evaluations of sprig-sown genetically modified crops, 16-10-2003. </w:t>
      </w:r>
      <w:r w:rsidRPr="005B31B3">
        <w:t xml:space="preserve">Ολόκληρη η έκθεση είναι διαθέσιμη στο: </w:t>
      </w:r>
      <w:hyperlink r:id="rId6" w:history="1">
        <w:r w:rsidRPr="005B31B3">
          <w:rPr>
            <w:rStyle w:val="Hyperlink"/>
            <w:lang w:val="en-US"/>
          </w:rPr>
          <w:t>www</w:t>
        </w:r>
        <w:r w:rsidRPr="005B31B3">
          <w:rPr>
            <w:rStyle w:val="Hyperlink"/>
          </w:rPr>
          <w:t>.</w:t>
        </w:r>
        <w:r w:rsidRPr="005B31B3">
          <w:rPr>
            <w:rStyle w:val="Hyperlink"/>
            <w:lang w:val="en-US"/>
          </w:rPr>
          <w:t>pubs</w:t>
        </w:r>
        <w:r w:rsidRPr="005B31B3">
          <w:rPr>
            <w:rStyle w:val="Hyperlink"/>
          </w:rPr>
          <w:t>.</w:t>
        </w:r>
        <w:r w:rsidRPr="005B31B3">
          <w:rPr>
            <w:rStyle w:val="Hyperlink"/>
            <w:lang w:val="en-US"/>
          </w:rPr>
          <w:t>royalsoc</w:t>
        </w:r>
        <w:r w:rsidRPr="005B31B3">
          <w:rPr>
            <w:rStyle w:val="Hyperlink"/>
          </w:rPr>
          <w:t>.</w:t>
        </w:r>
        <w:r w:rsidRPr="005B31B3">
          <w:rPr>
            <w:rStyle w:val="Hyperlink"/>
            <w:lang w:val="en-US"/>
          </w:rPr>
          <w:t>ac</w:t>
        </w:r>
        <w:r w:rsidRPr="005B31B3">
          <w:rPr>
            <w:rStyle w:val="Hyperlink"/>
          </w:rPr>
          <w:t>.</w:t>
        </w:r>
        <w:r w:rsidRPr="005B31B3">
          <w:rPr>
            <w:rStyle w:val="Hyperlink"/>
            <w:lang w:val="en-US"/>
          </w:rPr>
          <w:t>uk</w:t>
        </w:r>
      </w:hyperlink>
      <w:r w:rsidRPr="005B31B3">
        <w:t xml:space="preserve"> </w:t>
      </w:r>
    </w:p>
  </w:footnote>
  <w:footnote w:id="35">
    <w:p w:rsidR="00742CAF" w:rsidRPr="005B31B3" w:rsidRDefault="00742CAF" w:rsidP="00742CAF">
      <w:pPr>
        <w:pStyle w:val="FootnoteText"/>
        <w:jc w:val="both"/>
        <w:rPr>
          <w:lang w:val="fr-FR"/>
        </w:rPr>
      </w:pPr>
      <w:r w:rsidRPr="005B31B3">
        <w:rPr>
          <w:rStyle w:val="FootnoteReference"/>
        </w:rPr>
        <w:footnoteRef/>
      </w:r>
      <w:r w:rsidRPr="005B31B3">
        <w:rPr>
          <w:lang w:val="fr-FR"/>
        </w:rPr>
        <w:t xml:space="preserve"> </w:t>
      </w:r>
      <w:r w:rsidRPr="005B31B3">
        <w:rPr>
          <w:i/>
          <w:lang w:val="fr-FR"/>
        </w:rPr>
        <w:t>G. Paillotin</w:t>
      </w:r>
      <w:r w:rsidRPr="005B31B3">
        <w:rPr>
          <w:lang w:val="fr-FR"/>
        </w:rPr>
        <w:t xml:space="preserve">, D. Rousset, </w:t>
      </w:r>
      <w:r w:rsidRPr="005B31B3">
        <w:t>ό</w:t>
      </w:r>
      <w:r w:rsidRPr="005B31B3">
        <w:rPr>
          <w:lang w:val="fr-FR"/>
        </w:rPr>
        <w:t>.</w:t>
      </w:r>
      <w:r w:rsidRPr="005B31B3">
        <w:t>π</w:t>
      </w:r>
      <w:r w:rsidRPr="005B31B3">
        <w:rPr>
          <w:lang w:val="fr-FR"/>
        </w:rPr>
        <w:t xml:space="preserve">., </w:t>
      </w:r>
      <w:r w:rsidRPr="005B31B3">
        <w:t>σ</w:t>
      </w:r>
      <w:r w:rsidRPr="005B31B3">
        <w:rPr>
          <w:lang w:val="fr-FR"/>
        </w:rPr>
        <w:t>.101.</w:t>
      </w:r>
    </w:p>
  </w:footnote>
  <w:footnote w:id="36">
    <w:p w:rsidR="00742CAF" w:rsidRPr="005B31B3" w:rsidRDefault="00742CAF" w:rsidP="00742CAF">
      <w:pPr>
        <w:pStyle w:val="FootnoteText"/>
        <w:jc w:val="both"/>
        <w:rPr>
          <w:lang w:val="fr-FR"/>
        </w:rPr>
      </w:pPr>
      <w:r w:rsidRPr="005B31B3">
        <w:rPr>
          <w:rStyle w:val="FootnoteReference"/>
        </w:rPr>
        <w:footnoteRef/>
      </w:r>
      <w:r w:rsidRPr="005B31B3">
        <w:rPr>
          <w:lang w:val="fr-FR"/>
        </w:rPr>
        <w:t xml:space="preserve"> </w:t>
      </w:r>
      <w:r w:rsidRPr="005B31B3">
        <w:rPr>
          <w:bCs/>
          <w:i/>
          <w:lang w:val="fr-FR"/>
        </w:rPr>
        <w:t>C. Lepage, Fr. Guery</w:t>
      </w:r>
      <w:r w:rsidRPr="005B31B3">
        <w:rPr>
          <w:lang w:val="fr-FR"/>
        </w:rPr>
        <w:t xml:space="preserve">, La politique de précaution, Paris, PUF, 2001, </w:t>
      </w:r>
      <w:r w:rsidRPr="005B31B3">
        <w:t>σ</w:t>
      </w:r>
      <w:r w:rsidRPr="005B31B3">
        <w:rPr>
          <w:lang w:val="fr-FR"/>
        </w:rPr>
        <w:t>. 31.</w:t>
      </w:r>
    </w:p>
  </w:footnote>
  <w:footnote w:id="37">
    <w:p w:rsidR="00742CAF" w:rsidRPr="008E1872" w:rsidRDefault="00742CAF" w:rsidP="00742CAF">
      <w:pPr>
        <w:pStyle w:val="FootnoteText"/>
        <w:jc w:val="both"/>
      </w:pPr>
      <w:r>
        <w:rPr>
          <w:rStyle w:val="FootnoteReference"/>
        </w:rPr>
        <w:footnoteRef/>
      </w:r>
      <w:r w:rsidRPr="008E1872">
        <w:t xml:space="preserve"> </w:t>
      </w:r>
      <w:r>
        <w:rPr>
          <w:i/>
          <w:lang w:val="en-US"/>
        </w:rPr>
        <w:t>G</w:t>
      </w:r>
      <w:r w:rsidRPr="008E1872">
        <w:rPr>
          <w:i/>
        </w:rPr>
        <w:t xml:space="preserve">. </w:t>
      </w:r>
      <w:r>
        <w:rPr>
          <w:i/>
          <w:lang w:val="en-US"/>
        </w:rPr>
        <w:t>Blue</w:t>
      </w:r>
      <w:r w:rsidRPr="008E1872">
        <w:rPr>
          <w:i/>
        </w:rPr>
        <w:t xml:space="preserve">, </w:t>
      </w:r>
      <w:r w:rsidRPr="008E1872">
        <w:t>“</w:t>
      </w:r>
      <w:r>
        <w:rPr>
          <w:lang w:val="en-US"/>
        </w:rPr>
        <w:t>Food</w:t>
      </w:r>
      <w:r w:rsidRPr="008E1872">
        <w:t xml:space="preserve">, </w:t>
      </w:r>
      <w:r>
        <w:rPr>
          <w:lang w:val="en-US"/>
        </w:rPr>
        <w:t>Publics</w:t>
      </w:r>
      <w:r w:rsidRPr="008E1872">
        <w:t xml:space="preserve">, </w:t>
      </w:r>
      <w:r>
        <w:rPr>
          <w:lang w:val="en-US"/>
        </w:rPr>
        <w:t>Science</w:t>
      </w:r>
      <w:r w:rsidRPr="008E1872">
        <w:t xml:space="preserve">”, </w:t>
      </w:r>
      <w:r>
        <w:rPr>
          <w:lang w:val="en-US"/>
        </w:rPr>
        <w:t>Public</w:t>
      </w:r>
      <w:r w:rsidRPr="008E1872">
        <w:t xml:space="preserve"> </w:t>
      </w:r>
      <w:r>
        <w:rPr>
          <w:lang w:val="en-US"/>
        </w:rPr>
        <w:t>Understanding</w:t>
      </w:r>
      <w:r w:rsidRPr="008E1872">
        <w:t xml:space="preserve"> </w:t>
      </w:r>
      <w:r>
        <w:rPr>
          <w:lang w:val="en-US"/>
        </w:rPr>
        <w:t>of</w:t>
      </w:r>
      <w:r w:rsidRPr="008E1872">
        <w:t xml:space="preserve"> </w:t>
      </w:r>
      <w:r>
        <w:rPr>
          <w:lang w:val="en-US"/>
        </w:rPr>
        <w:t>Science</w:t>
      </w:r>
      <w:r w:rsidRPr="008E1872">
        <w:t xml:space="preserve">, </w:t>
      </w:r>
      <w:r>
        <w:rPr>
          <w:lang w:val="en-US"/>
        </w:rPr>
        <w:t>Vol</w:t>
      </w:r>
      <w:r w:rsidRPr="008E1872">
        <w:t xml:space="preserve">. 19(2), 2010), </w:t>
      </w:r>
      <w:r>
        <w:t>σ</w:t>
      </w:r>
      <w:r w:rsidRPr="008E1872">
        <w:t>. 150 (</w:t>
      </w:r>
      <w:r>
        <w:t>ο</w:t>
      </w:r>
      <w:r w:rsidRPr="008E1872">
        <w:t xml:space="preserve"> </w:t>
      </w:r>
      <w:r>
        <w:t>οποίος</w:t>
      </w:r>
      <w:r w:rsidRPr="008E1872">
        <w:t xml:space="preserve"> </w:t>
      </w:r>
      <w:r>
        <w:t>υποστηρίζει</w:t>
      </w:r>
      <w:r w:rsidRPr="008E1872">
        <w:t xml:space="preserve"> </w:t>
      </w:r>
      <w:r>
        <w:t>ότι</w:t>
      </w:r>
      <w:r w:rsidRPr="008E1872">
        <w:t xml:space="preserve"> </w:t>
      </w:r>
      <w:r>
        <w:t>η</w:t>
      </w:r>
      <w:r w:rsidRPr="008E1872">
        <w:t xml:space="preserve"> </w:t>
      </w:r>
      <w:r>
        <w:t xml:space="preserve">παγκοσμιοποιημένη και άκρως βιομηχανοποιημένη γεωργία δημιούργησε ένα χάσμα μεταξύ παραγωγής και κατανάλωσης το οποίο, συνδεόμενο και με την αδυναμία άσκησης ελέγχου στο παραγόμενο προϊόν, οδήγησε σε πολιτικοποίηση του ζητήματος σχετικά με τους πιθανούς κινδύνους.) </w:t>
      </w:r>
    </w:p>
  </w:footnote>
  <w:footnote w:id="38">
    <w:p w:rsidR="00742CAF" w:rsidRPr="002513A6" w:rsidRDefault="00742CAF" w:rsidP="00742CAF">
      <w:pPr>
        <w:pStyle w:val="FootnoteText"/>
        <w:jc w:val="both"/>
        <w:rPr>
          <w:lang w:val="en-US"/>
        </w:rPr>
      </w:pPr>
      <w:r>
        <w:rPr>
          <w:rStyle w:val="FootnoteReference"/>
        </w:rPr>
        <w:footnoteRef/>
      </w:r>
      <w:r w:rsidRPr="007F5A48">
        <w:rPr>
          <w:lang w:val="en-US"/>
        </w:rPr>
        <w:t xml:space="preserve"> </w:t>
      </w:r>
      <w:r>
        <w:t>Βλ</w:t>
      </w:r>
      <w:r w:rsidRPr="007F5A48">
        <w:rPr>
          <w:lang w:val="en-US"/>
        </w:rPr>
        <w:t xml:space="preserve">., </w:t>
      </w:r>
      <w:r>
        <w:t>αντί</w:t>
      </w:r>
      <w:r w:rsidRPr="007F5A48">
        <w:rPr>
          <w:lang w:val="en-US"/>
        </w:rPr>
        <w:t xml:space="preserve"> </w:t>
      </w:r>
      <w:r>
        <w:t>πολλών</w:t>
      </w:r>
      <w:r w:rsidRPr="007F5A48">
        <w:rPr>
          <w:lang w:val="en-US"/>
        </w:rPr>
        <w:t xml:space="preserve">, </w:t>
      </w:r>
      <w:r>
        <w:rPr>
          <w:i/>
          <w:lang w:val="en-US"/>
        </w:rPr>
        <w:t>A. Stirling</w:t>
      </w:r>
      <w:r>
        <w:rPr>
          <w:lang w:val="en-US"/>
        </w:rPr>
        <w:t xml:space="preserve">, “Opening Up” and “Closing Down”-Power, Participation and Pluralism in the Social Appraisal of Technology”, Science, Technology &amp; Human Values, Vol. 33(2), 2008, </w:t>
      </w:r>
      <w:r>
        <w:t>σ</w:t>
      </w:r>
      <w:r>
        <w:rPr>
          <w:lang w:val="en-US"/>
        </w:rPr>
        <w:t>. 265</w:t>
      </w:r>
      <w:r w:rsidRPr="002513A6">
        <w:rPr>
          <w:lang w:val="en-US"/>
        </w:rPr>
        <w:t xml:space="preserve">. </w:t>
      </w:r>
    </w:p>
  </w:footnote>
  <w:footnote w:id="39">
    <w:p w:rsidR="00742CAF" w:rsidRPr="00234983" w:rsidRDefault="00742CAF" w:rsidP="00742CAF">
      <w:pPr>
        <w:pStyle w:val="FootnoteText"/>
        <w:jc w:val="both"/>
        <w:rPr>
          <w:lang w:val="en-US"/>
        </w:rPr>
      </w:pPr>
      <w:r>
        <w:rPr>
          <w:rStyle w:val="FootnoteReference"/>
        </w:rPr>
        <w:footnoteRef/>
      </w:r>
      <w:r w:rsidRPr="00234983">
        <w:rPr>
          <w:lang w:val="en-US"/>
        </w:rPr>
        <w:t xml:space="preserve"> </w:t>
      </w:r>
      <w:r>
        <w:t>Πρόκειται</w:t>
      </w:r>
      <w:r w:rsidRPr="00234983">
        <w:rPr>
          <w:lang w:val="en-US"/>
        </w:rPr>
        <w:t xml:space="preserve"> </w:t>
      </w:r>
      <w:r>
        <w:t>για</w:t>
      </w:r>
      <w:r w:rsidRPr="00234983">
        <w:rPr>
          <w:lang w:val="en-US"/>
        </w:rPr>
        <w:t xml:space="preserve"> </w:t>
      </w:r>
      <w:r>
        <w:t>τη</w:t>
      </w:r>
      <w:r w:rsidRPr="00234983">
        <w:rPr>
          <w:lang w:val="en-US"/>
        </w:rPr>
        <w:t xml:space="preserve"> </w:t>
      </w:r>
      <w:r>
        <w:t>λεγόμενη</w:t>
      </w:r>
      <w:r w:rsidRPr="00234983">
        <w:rPr>
          <w:lang w:val="en-US"/>
        </w:rPr>
        <w:t xml:space="preserve"> </w:t>
      </w:r>
      <w:r>
        <w:rPr>
          <w:lang w:val="en-US"/>
        </w:rPr>
        <w:t>“command-and-control regulation”.</w:t>
      </w:r>
    </w:p>
  </w:footnote>
  <w:footnote w:id="40">
    <w:p w:rsidR="00742CAF" w:rsidRPr="00B2726A" w:rsidRDefault="00742CAF" w:rsidP="00742CAF">
      <w:pPr>
        <w:pStyle w:val="FootnoteText"/>
        <w:jc w:val="both"/>
      </w:pPr>
      <w:r>
        <w:rPr>
          <w:rStyle w:val="FootnoteReference"/>
        </w:rPr>
        <w:footnoteRef/>
      </w:r>
      <w:r w:rsidRPr="00ED580F">
        <w:t xml:space="preserve"> </w:t>
      </w:r>
      <w:r>
        <w:rPr>
          <w:i/>
          <w:lang w:val="en-US"/>
        </w:rPr>
        <w:t>M</w:t>
      </w:r>
      <w:r w:rsidRPr="00ED580F">
        <w:rPr>
          <w:i/>
        </w:rPr>
        <w:t>.</w:t>
      </w:r>
      <w:r>
        <w:rPr>
          <w:i/>
          <w:lang w:val="en-US"/>
        </w:rPr>
        <w:t>B</w:t>
      </w:r>
      <w:r w:rsidRPr="00ED580F">
        <w:rPr>
          <w:i/>
        </w:rPr>
        <w:t>.</w:t>
      </w:r>
      <w:r>
        <w:rPr>
          <w:i/>
          <w:lang w:val="en-US"/>
        </w:rPr>
        <w:t>A</w:t>
      </w:r>
      <w:r w:rsidRPr="00ED580F">
        <w:rPr>
          <w:i/>
        </w:rPr>
        <w:t xml:space="preserve">. </w:t>
      </w:r>
      <w:r>
        <w:rPr>
          <w:i/>
          <w:lang w:val="en-US"/>
        </w:rPr>
        <w:t>van</w:t>
      </w:r>
      <w:r w:rsidRPr="00ED580F">
        <w:rPr>
          <w:i/>
        </w:rPr>
        <w:t xml:space="preserve"> </w:t>
      </w:r>
      <w:r>
        <w:rPr>
          <w:i/>
          <w:lang w:val="en-US"/>
        </w:rPr>
        <w:t>Asselt</w:t>
      </w:r>
      <w:r w:rsidRPr="00ED580F">
        <w:rPr>
          <w:i/>
        </w:rPr>
        <w:t xml:space="preserve">, </w:t>
      </w:r>
      <w:r>
        <w:rPr>
          <w:i/>
          <w:lang w:val="en-US"/>
        </w:rPr>
        <w:t>O</w:t>
      </w:r>
      <w:r w:rsidRPr="00ED580F">
        <w:rPr>
          <w:i/>
        </w:rPr>
        <w:t xml:space="preserve">. </w:t>
      </w:r>
      <w:r>
        <w:rPr>
          <w:i/>
          <w:lang w:val="en-US"/>
        </w:rPr>
        <w:t>Renn</w:t>
      </w:r>
      <w:r w:rsidRPr="00ED580F">
        <w:t>, “</w:t>
      </w:r>
      <w:r>
        <w:rPr>
          <w:lang w:val="en-US"/>
        </w:rPr>
        <w:t>Risk</w:t>
      </w:r>
      <w:r w:rsidRPr="00ED580F">
        <w:t xml:space="preserve"> </w:t>
      </w:r>
      <w:r>
        <w:rPr>
          <w:lang w:val="en-US"/>
        </w:rPr>
        <w:t>governance</w:t>
      </w:r>
      <w:r w:rsidRPr="00ED580F">
        <w:t xml:space="preserve">”, </w:t>
      </w:r>
      <w:r>
        <w:rPr>
          <w:lang w:val="en-US"/>
        </w:rPr>
        <w:t>Journal</w:t>
      </w:r>
      <w:r w:rsidRPr="00ED580F">
        <w:t xml:space="preserve"> </w:t>
      </w:r>
      <w:r>
        <w:rPr>
          <w:lang w:val="en-US"/>
        </w:rPr>
        <w:t>of</w:t>
      </w:r>
      <w:r w:rsidRPr="00ED580F">
        <w:t xml:space="preserve"> </w:t>
      </w:r>
      <w:r>
        <w:rPr>
          <w:lang w:val="en-US"/>
        </w:rPr>
        <w:t>Risk</w:t>
      </w:r>
      <w:r w:rsidRPr="00ED580F">
        <w:t xml:space="preserve"> </w:t>
      </w:r>
      <w:r>
        <w:rPr>
          <w:lang w:val="en-US"/>
        </w:rPr>
        <w:t>Research</w:t>
      </w:r>
      <w:r w:rsidRPr="00ED580F">
        <w:t xml:space="preserve">, </w:t>
      </w:r>
      <w:r>
        <w:rPr>
          <w:lang w:val="en-US"/>
        </w:rPr>
        <w:t>Vol</w:t>
      </w:r>
      <w:r w:rsidRPr="00ED580F">
        <w:t xml:space="preserve">. 14(4), 2011, </w:t>
      </w:r>
      <w:r>
        <w:t>σ</w:t>
      </w:r>
      <w:r w:rsidRPr="00ED580F">
        <w:t>. 43</w:t>
      </w:r>
      <w:r>
        <w:t>4</w:t>
      </w:r>
      <w:r w:rsidRPr="00ED580F">
        <w:t xml:space="preserve"> </w:t>
      </w:r>
      <w:r>
        <w:t xml:space="preserve">(οι οποίοι τονίζουν ότι η διακυβέρνηση διευρύνει τις προοπτικές άσκησης της πολιτικής αναγνωρίζοντας ότι η κυβέρνηση δεν είναι ο μοναδικός ή ο σημαντικότερος παράγοντας στη διαχείριση και οργάνωση της κοινωνίας. Η αλλαγή -συνεχίζουν- προς τη διακυβέρνηση είναι μια απάντηση στις νέες προκλήσεις, όπως η παγκοσμιοποίηση, η ενισχυμένη διεθνής συνεργασία (π.χ. η Ε.Ε.), οι κοινωνικές αλλαγές συμπεριλαμβανομένης και της αυξημένης εμπλοκής των πολιτών, η εμφάνιση και ενισχυμένη δράση των ΜΚΟ, ο νέος ρόλος του ιδιωτικού τομέα, η αυξανόμενη  πολυπλοκότητα των ζητημάτων που τίθενται και η συνακόλουθη δυσκολία στο να λαμβάνονται νόμιμες και ορθές αποφάσεις). </w:t>
      </w:r>
    </w:p>
  </w:footnote>
  <w:footnote w:id="41">
    <w:p w:rsidR="00742CAF" w:rsidRPr="00FC125C" w:rsidRDefault="00742CAF" w:rsidP="00742CAF">
      <w:pPr>
        <w:pStyle w:val="FootnoteText"/>
        <w:jc w:val="both"/>
        <w:rPr>
          <w:lang w:val="en-US"/>
        </w:rPr>
      </w:pPr>
      <w:r>
        <w:rPr>
          <w:rStyle w:val="FootnoteReference"/>
        </w:rPr>
        <w:footnoteRef/>
      </w:r>
      <w:r w:rsidRPr="00FC125C">
        <w:rPr>
          <w:lang w:val="en-US"/>
        </w:rPr>
        <w:t xml:space="preserve"> </w:t>
      </w:r>
      <w:r>
        <w:rPr>
          <w:i/>
          <w:lang w:val="en-US"/>
        </w:rPr>
        <w:t>B.C. Karkkainen</w:t>
      </w:r>
      <w:r>
        <w:rPr>
          <w:lang w:val="en-US"/>
        </w:rPr>
        <w:t xml:space="preserve">, “Information-forcing Regulation and Environmental Governance”, in: </w:t>
      </w:r>
      <w:r>
        <w:rPr>
          <w:i/>
          <w:lang w:val="en-US"/>
        </w:rPr>
        <w:t>G de Burca, J. Scott</w:t>
      </w:r>
      <w:r>
        <w:rPr>
          <w:lang w:val="en-US"/>
        </w:rPr>
        <w:t xml:space="preserve"> (eds), Law and New Governance in the EU and the US, Oxford, Portland, Oregon, Hart Publishing, 2006</w:t>
      </w:r>
      <w:r w:rsidRPr="00FC125C">
        <w:rPr>
          <w:lang w:val="en-US"/>
        </w:rPr>
        <w:t xml:space="preserve">, </w:t>
      </w:r>
      <w:r>
        <w:t>σ</w:t>
      </w:r>
      <w:r w:rsidRPr="00FC125C">
        <w:rPr>
          <w:lang w:val="en-US"/>
        </w:rPr>
        <w:t>. 293-94.</w:t>
      </w:r>
    </w:p>
  </w:footnote>
  <w:footnote w:id="42">
    <w:p w:rsidR="00742CAF" w:rsidRPr="008761C3" w:rsidRDefault="00742CAF" w:rsidP="00742CAF">
      <w:pPr>
        <w:pStyle w:val="FootnoteText"/>
        <w:rPr>
          <w:i/>
          <w:lang w:val="en-US"/>
        </w:rPr>
      </w:pPr>
      <w:r>
        <w:rPr>
          <w:rStyle w:val="FootnoteReference"/>
        </w:rPr>
        <w:footnoteRef/>
      </w:r>
      <w:r w:rsidRPr="008761C3">
        <w:rPr>
          <w:lang w:val="en-US"/>
        </w:rPr>
        <w:t xml:space="preserve"> </w:t>
      </w:r>
      <w:r>
        <w:rPr>
          <w:i/>
          <w:lang w:val="en-US"/>
        </w:rPr>
        <w:t>Ibid.</w:t>
      </w:r>
    </w:p>
  </w:footnote>
  <w:footnote w:id="43">
    <w:p w:rsidR="00742CAF" w:rsidRPr="008761C3" w:rsidRDefault="00742CAF" w:rsidP="00742CAF">
      <w:pPr>
        <w:pStyle w:val="FootnoteText"/>
        <w:jc w:val="both"/>
        <w:rPr>
          <w:lang w:val="en-US"/>
        </w:rPr>
      </w:pPr>
      <w:r>
        <w:rPr>
          <w:rStyle w:val="FootnoteReference"/>
        </w:rPr>
        <w:footnoteRef/>
      </w:r>
      <w:r w:rsidRPr="008761C3">
        <w:rPr>
          <w:lang w:val="en-US"/>
        </w:rPr>
        <w:t xml:space="preserve"> </w:t>
      </w:r>
      <w:r>
        <w:rPr>
          <w:i/>
          <w:lang w:val="en-US"/>
        </w:rPr>
        <w:t>J. Scott, J. Holder</w:t>
      </w:r>
      <w:r>
        <w:rPr>
          <w:lang w:val="en-US"/>
        </w:rPr>
        <w:t xml:space="preserve">, “Law and New Environmental Governance in the European Union”, in: </w:t>
      </w:r>
      <w:r>
        <w:rPr>
          <w:i/>
          <w:lang w:val="en-US"/>
        </w:rPr>
        <w:t>G de Burca, J. Scott</w:t>
      </w:r>
      <w:r>
        <w:rPr>
          <w:lang w:val="en-US"/>
        </w:rPr>
        <w:t xml:space="preserve"> (eds), Law and New Governance in the EU and the US,</w:t>
      </w:r>
      <w:r w:rsidRPr="008761C3">
        <w:rPr>
          <w:lang w:val="en-US"/>
        </w:rPr>
        <w:t xml:space="preserve">, </w:t>
      </w:r>
      <w:r>
        <w:t>ό</w:t>
      </w:r>
      <w:r w:rsidRPr="008761C3">
        <w:rPr>
          <w:lang w:val="en-US"/>
        </w:rPr>
        <w:t>.</w:t>
      </w:r>
      <w:r>
        <w:t>π</w:t>
      </w:r>
      <w:r w:rsidRPr="008761C3">
        <w:rPr>
          <w:lang w:val="en-US"/>
        </w:rPr>
        <w:t xml:space="preserve">., </w:t>
      </w:r>
      <w:r>
        <w:t>σ</w:t>
      </w:r>
      <w:r w:rsidRPr="008761C3">
        <w:rPr>
          <w:lang w:val="en-US"/>
        </w:rPr>
        <w:t xml:space="preserve">. 211 </w:t>
      </w:r>
      <w:r>
        <w:t>επ</w:t>
      </w:r>
      <w:r w:rsidRPr="008761C3">
        <w:rPr>
          <w:lang w:val="en-US"/>
        </w:rPr>
        <w:t>.</w:t>
      </w:r>
    </w:p>
  </w:footnote>
  <w:footnote w:id="44">
    <w:p w:rsidR="00742CAF" w:rsidRPr="00456F24" w:rsidRDefault="00742CAF" w:rsidP="00742CAF">
      <w:pPr>
        <w:pStyle w:val="FootnoteText"/>
        <w:jc w:val="both"/>
        <w:rPr>
          <w:lang w:val="en-US"/>
        </w:rPr>
      </w:pPr>
      <w:r>
        <w:rPr>
          <w:rStyle w:val="FootnoteReference"/>
        </w:rPr>
        <w:footnoteRef/>
      </w:r>
      <w:r w:rsidRPr="001C197F">
        <w:rPr>
          <w:lang w:val="en-US"/>
        </w:rPr>
        <w:t xml:space="preserve"> </w:t>
      </w:r>
      <w:r>
        <w:rPr>
          <w:i/>
          <w:lang w:val="en-US"/>
        </w:rPr>
        <w:t>D.C. Esty</w:t>
      </w:r>
      <w:r>
        <w:rPr>
          <w:lang w:val="en-US"/>
        </w:rPr>
        <w:t>, “Good Governance at the Supranational Scale: Globalizing Administrative Law”, The Yale Law Journal, Vol. 115(7), 2006, σ. 1497-1499.</w:t>
      </w:r>
      <w:r w:rsidRPr="00456F24">
        <w:rPr>
          <w:lang w:val="en-US"/>
        </w:rPr>
        <w:t xml:space="preserve"> </w:t>
      </w:r>
      <w:r>
        <w:rPr>
          <w:i/>
          <w:lang w:val="en-US"/>
        </w:rPr>
        <w:t>R</w:t>
      </w:r>
      <w:r w:rsidRPr="001C197F">
        <w:rPr>
          <w:i/>
          <w:lang w:val="en-US"/>
        </w:rPr>
        <w:t>.</w:t>
      </w:r>
      <w:r>
        <w:rPr>
          <w:i/>
          <w:lang w:val="en-US"/>
        </w:rPr>
        <w:t>B. Stewart</w:t>
      </w:r>
      <w:r>
        <w:rPr>
          <w:lang w:val="en-US"/>
        </w:rPr>
        <w:t>, “U.S. Administrative Law: A Model for Global Administrative Law?”, Law &amp; Contemporary Problems, Vol. 68, 2005</w:t>
      </w:r>
      <w:r w:rsidRPr="0055211A">
        <w:rPr>
          <w:lang w:val="en-US"/>
        </w:rPr>
        <w:t xml:space="preserve">, </w:t>
      </w:r>
      <w:r>
        <w:t>σ</w:t>
      </w:r>
      <w:r w:rsidRPr="0055211A">
        <w:rPr>
          <w:lang w:val="en-US"/>
        </w:rPr>
        <w:t xml:space="preserve">. 63-73. </w:t>
      </w:r>
    </w:p>
  </w:footnote>
  <w:footnote w:id="45">
    <w:p w:rsidR="00742CAF" w:rsidRPr="00820D08" w:rsidRDefault="00742CAF" w:rsidP="00742CAF">
      <w:pPr>
        <w:pStyle w:val="FootnoteText"/>
        <w:jc w:val="both"/>
      </w:pPr>
      <w:r>
        <w:rPr>
          <w:rStyle w:val="FootnoteReference"/>
        </w:rPr>
        <w:footnoteRef/>
      </w:r>
      <w:r w:rsidRPr="00742CAF">
        <w:t xml:space="preserve"> </w:t>
      </w:r>
      <w:r>
        <w:t>Υπάρχουν</w:t>
      </w:r>
      <w:r w:rsidRPr="00742CAF">
        <w:t xml:space="preserve"> </w:t>
      </w:r>
      <w:r>
        <w:t>και</w:t>
      </w:r>
      <w:r w:rsidRPr="00742CAF">
        <w:t xml:space="preserve"> </w:t>
      </w:r>
      <w:r>
        <w:t>άλλες</w:t>
      </w:r>
      <w:r w:rsidRPr="00742CAF">
        <w:t xml:space="preserve"> </w:t>
      </w:r>
      <w:r>
        <w:t>νομοθετικές</w:t>
      </w:r>
      <w:r w:rsidRPr="00742CAF">
        <w:t xml:space="preserve"> </w:t>
      </w:r>
      <w:r>
        <w:t>και</w:t>
      </w:r>
      <w:r w:rsidRPr="00742CAF">
        <w:t xml:space="preserve"> </w:t>
      </w:r>
      <w:r>
        <w:t>πολιτικές</w:t>
      </w:r>
      <w:r w:rsidRPr="00742CAF">
        <w:t xml:space="preserve"> </w:t>
      </w:r>
      <w:r>
        <w:t>πρωτοβουλίες</w:t>
      </w:r>
      <w:r w:rsidRPr="00742CAF">
        <w:t xml:space="preserve"> </w:t>
      </w:r>
      <w:r>
        <w:t>σχετικά</w:t>
      </w:r>
      <w:r w:rsidRPr="00742CAF">
        <w:t xml:space="preserve"> </w:t>
      </w:r>
      <w:r>
        <w:t>με</w:t>
      </w:r>
      <w:r w:rsidRPr="00742CAF">
        <w:t xml:space="preserve"> </w:t>
      </w:r>
      <w:r>
        <w:t>τη</w:t>
      </w:r>
      <w:r w:rsidRPr="00742CAF">
        <w:t xml:space="preserve"> </w:t>
      </w:r>
      <w:r>
        <w:t>διαχείριση</w:t>
      </w:r>
      <w:r w:rsidRPr="00742CAF">
        <w:t xml:space="preserve"> </w:t>
      </w:r>
      <w:r>
        <w:t>των</w:t>
      </w:r>
      <w:r w:rsidRPr="00742CAF">
        <w:t xml:space="preserve"> </w:t>
      </w:r>
      <w:r>
        <w:t>ΓΤΟ</w:t>
      </w:r>
      <w:r w:rsidRPr="00742CAF">
        <w:t xml:space="preserve"> </w:t>
      </w:r>
      <w:r>
        <w:t>ή</w:t>
      </w:r>
      <w:r w:rsidRPr="00742CAF">
        <w:t xml:space="preserve"> </w:t>
      </w:r>
      <w:r>
        <w:t>με</w:t>
      </w:r>
      <w:r w:rsidRPr="00742CAF">
        <w:t xml:space="preserve"> </w:t>
      </w:r>
      <w:r>
        <w:t>άλλες</w:t>
      </w:r>
      <w:r w:rsidRPr="00742CAF">
        <w:t xml:space="preserve"> </w:t>
      </w:r>
      <w:r>
        <w:t>όψεις</w:t>
      </w:r>
      <w:r w:rsidRPr="00742CAF">
        <w:t xml:space="preserve"> </w:t>
      </w:r>
      <w:r>
        <w:t>των</w:t>
      </w:r>
      <w:r w:rsidRPr="00742CAF">
        <w:t xml:space="preserve"> </w:t>
      </w:r>
      <w:r>
        <w:t>βιοτεχνολογικών καινοτομιών. Βλ</w:t>
      </w:r>
      <w:r w:rsidRPr="005507C4">
        <w:rPr>
          <w:lang w:val="en-US"/>
        </w:rPr>
        <w:t xml:space="preserve">., </w:t>
      </w:r>
      <w:r>
        <w:t>π</w:t>
      </w:r>
      <w:r w:rsidRPr="005507C4">
        <w:rPr>
          <w:lang w:val="en-US"/>
        </w:rPr>
        <w:t>.</w:t>
      </w:r>
      <w:r>
        <w:t>χ</w:t>
      </w:r>
      <w:r w:rsidRPr="005507C4">
        <w:rPr>
          <w:lang w:val="en-US"/>
        </w:rPr>
        <w:t xml:space="preserve">., </w:t>
      </w:r>
      <w:r>
        <w:rPr>
          <w:lang w:val="en-US"/>
        </w:rPr>
        <w:t xml:space="preserve">Council of Europe, 1997 Oviedo Convention on Human Rights and Biomedicine, CETS No 164. </w:t>
      </w:r>
      <w:r>
        <w:t xml:space="preserve">Ομοίως, θα πρέπει να υπογραμμιστεί ο σημαντικός ρόλος του </w:t>
      </w:r>
      <w:r>
        <w:rPr>
          <w:lang w:val="en-US"/>
        </w:rPr>
        <w:t>Codex</w:t>
      </w:r>
      <w:r w:rsidRPr="00820D08">
        <w:t xml:space="preserve"> </w:t>
      </w:r>
      <w:r>
        <w:rPr>
          <w:lang w:val="en-US"/>
        </w:rPr>
        <w:t>Alimentarius</w:t>
      </w:r>
      <w:r>
        <w:t xml:space="preserve"> στη θέσπιση των ορίων και επιπέδων ασφάλειας των τροφίμων μεταξύ των οποίων και όσων προέρχονται ή αποτελούνται από ΓΤΟ.</w:t>
      </w:r>
    </w:p>
  </w:footnote>
  <w:footnote w:id="46">
    <w:p w:rsidR="008D4F0C" w:rsidRPr="006436A9" w:rsidRDefault="008D4F0C" w:rsidP="008D4F0C">
      <w:pPr>
        <w:pStyle w:val="FootnoteText"/>
        <w:rPr>
          <w:lang w:val="en-US"/>
        </w:rPr>
      </w:pPr>
      <w:r>
        <w:rPr>
          <w:rStyle w:val="FootnoteReference"/>
        </w:rPr>
        <w:footnoteRef/>
      </w:r>
      <w:r w:rsidRPr="006436A9">
        <w:rPr>
          <w:lang w:val="en-US"/>
        </w:rPr>
        <w:t xml:space="preserve"> </w:t>
      </w:r>
      <w:r>
        <w:rPr>
          <w:i/>
          <w:lang w:val="en-US"/>
        </w:rPr>
        <w:t>D</w:t>
      </w:r>
      <w:r w:rsidRPr="006436A9">
        <w:rPr>
          <w:i/>
          <w:lang w:val="en-US"/>
        </w:rPr>
        <w:t>.</w:t>
      </w:r>
      <w:r>
        <w:rPr>
          <w:i/>
          <w:lang w:val="en-US"/>
        </w:rPr>
        <w:t>A</w:t>
      </w:r>
      <w:r w:rsidRPr="006436A9">
        <w:rPr>
          <w:i/>
          <w:lang w:val="en-US"/>
        </w:rPr>
        <w:t xml:space="preserve">. </w:t>
      </w:r>
      <w:r>
        <w:rPr>
          <w:i/>
          <w:lang w:val="en-US"/>
        </w:rPr>
        <w:t>Andow</w:t>
      </w:r>
      <w:r w:rsidRPr="006436A9">
        <w:rPr>
          <w:i/>
          <w:lang w:val="en-US"/>
        </w:rPr>
        <w:t xml:space="preserve">, </w:t>
      </w:r>
      <w:r>
        <w:rPr>
          <w:i/>
          <w:lang w:val="en-US"/>
        </w:rPr>
        <w:t>C</w:t>
      </w:r>
      <w:r w:rsidRPr="006436A9">
        <w:rPr>
          <w:i/>
          <w:lang w:val="en-US"/>
        </w:rPr>
        <w:t xml:space="preserve">. </w:t>
      </w:r>
      <w:r>
        <w:rPr>
          <w:i/>
          <w:lang w:val="en-US"/>
        </w:rPr>
        <w:t>Zwahlen</w:t>
      </w:r>
      <w:r w:rsidRPr="006436A9">
        <w:rPr>
          <w:lang w:val="en-US"/>
        </w:rPr>
        <w:t>, “</w:t>
      </w:r>
      <w:r>
        <w:rPr>
          <w:lang w:val="en-US"/>
        </w:rPr>
        <w:t>Assessing</w:t>
      </w:r>
      <w:r w:rsidRPr="006436A9">
        <w:rPr>
          <w:lang w:val="en-US"/>
        </w:rPr>
        <w:t xml:space="preserve"> </w:t>
      </w:r>
      <w:r>
        <w:rPr>
          <w:lang w:val="en-US"/>
        </w:rPr>
        <w:t>Environmental</w:t>
      </w:r>
      <w:r w:rsidRPr="006436A9">
        <w:rPr>
          <w:lang w:val="en-US"/>
        </w:rPr>
        <w:t xml:space="preserve"> </w:t>
      </w:r>
      <w:r>
        <w:rPr>
          <w:lang w:val="en-US"/>
        </w:rPr>
        <w:t>Risks</w:t>
      </w:r>
      <w:r w:rsidRPr="006436A9">
        <w:rPr>
          <w:lang w:val="en-US"/>
        </w:rPr>
        <w:t xml:space="preserve"> </w:t>
      </w:r>
      <w:r>
        <w:rPr>
          <w:lang w:val="en-US"/>
        </w:rPr>
        <w:t>of</w:t>
      </w:r>
      <w:r w:rsidRPr="006436A9">
        <w:rPr>
          <w:lang w:val="en-US"/>
        </w:rPr>
        <w:t xml:space="preserve"> </w:t>
      </w:r>
      <w:r>
        <w:rPr>
          <w:lang w:val="en-US"/>
        </w:rPr>
        <w:t>Transgenic</w:t>
      </w:r>
      <w:r w:rsidRPr="006436A9">
        <w:rPr>
          <w:lang w:val="en-US"/>
        </w:rPr>
        <w:t xml:space="preserve"> </w:t>
      </w:r>
      <w:r>
        <w:rPr>
          <w:lang w:val="en-US"/>
        </w:rPr>
        <w:t>Plants</w:t>
      </w:r>
      <w:r w:rsidRPr="006436A9">
        <w:rPr>
          <w:lang w:val="en-US"/>
        </w:rPr>
        <w:t xml:space="preserve">”, </w:t>
      </w:r>
      <w:r>
        <w:t>ό</w:t>
      </w:r>
      <w:r w:rsidRPr="006436A9">
        <w:rPr>
          <w:lang w:val="en-US"/>
        </w:rPr>
        <w:t>.</w:t>
      </w:r>
      <w:r>
        <w:t>π</w:t>
      </w:r>
      <w:r w:rsidRPr="006436A9">
        <w:rPr>
          <w:lang w:val="en-US"/>
        </w:rPr>
        <w:t xml:space="preserve">., </w:t>
      </w:r>
      <w:r>
        <w:t>σ</w:t>
      </w:r>
      <w:r w:rsidRPr="006436A9">
        <w:rPr>
          <w:lang w:val="en-US"/>
        </w:rPr>
        <w:t>. 197.</w:t>
      </w:r>
    </w:p>
  </w:footnote>
  <w:footnote w:id="47">
    <w:p w:rsidR="008D4F0C" w:rsidRPr="00B26EA9" w:rsidRDefault="008D4F0C" w:rsidP="008D4F0C">
      <w:pPr>
        <w:pStyle w:val="FootnoteText"/>
        <w:rPr>
          <w:lang w:val="en-US"/>
        </w:rPr>
      </w:pPr>
      <w:r>
        <w:rPr>
          <w:rStyle w:val="FootnoteReference"/>
        </w:rPr>
        <w:footnoteRef/>
      </w:r>
      <w:r w:rsidRPr="00B26EA9">
        <w:rPr>
          <w:lang w:val="en-US"/>
        </w:rPr>
        <w:t xml:space="preserve"> </w:t>
      </w:r>
      <w:r w:rsidRPr="000E35B3">
        <w:rPr>
          <w:i/>
          <w:lang w:val="en-US"/>
        </w:rPr>
        <w:t>Ibid</w:t>
      </w:r>
      <w:r>
        <w:rPr>
          <w:lang w:val="en-US"/>
        </w:rPr>
        <w:t xml:space="preserve">. </w:t>
      </w:r>
    </w:p>
  </w:footnote>
  <w:footnote w:id="48">
    <w:p w:rsidR="008D4F0C" w:rsidRPr="002C7617" w:rsidRDefault="008D4F0C" w:rsidP="008D4F0C">
      <w:pPr>
        <w:pStyle w:val="FootnoteText"/>
        <w:rPr>
          <w:lang w:val="en-US"/>
        </w:rPr>
      </w:pPr>
      <w:r>
        <w:rPr>
          <w:rStyle w:val="FootnoteReference"/>
        </w:rPr>
        <w:footnoteRef/>
      </w:r>
      <w:r w:rsidRPr="00B26EA9">
        <w:rPr>
          <w:lang w:val="en-US"/>
        </w:rPr>
        <w:t xml:space="preserve"> </w:t>
      </w:r>
      <w:r w:rsidRPr="001971B0">
        <w:rPr>
          <w:i/>
          <w:lang w:val="en-US"/>
        </w:rPr>
        <w:t>Ibid.</w:t>
      </w:r>
      <w:r w:rsidRPr="002C7617">
        <w:rPr>
          <w:lang w:val="en-US"/>
        </w:rPr>
        <w:t xml:space="preserve">, </w:t>
      </w:r>
      <w:r>
        <w:t>σ</w:t>
      </w:r>
      <w:r w:rsidRPr="002C7617">
        <w:rPr>
          <w:lang w:val="en-US"/>
        </w:rPr>
        <w:t>. 198.</w:t>
      </w:r>
    </w:p>
  </w:footnote>
  <w:footnote w:id="49">
    <w:p w:rsidR="008D4F0C" w:rsidRPr="00E47227" w:rsidRDefault="008D4F0C" w:rsidP="008D4F0C">
      <w:pPr>
        <w:pStyle w:val="FootnoteText"/>
        <w:rPr>
          <w:lang w:val="en-US"/>
        </w:rPr>
      </w:pPr>
      <w:r>
        <w:rPr>
          <w:rStyle w:val="FootnoteReference"/>
        </w:rPr>
        <w:footnoteRef/>
      </w:r>
      <w:r w:rsidRPr="002C7617">
        <w:rPr>
          <w:lang w:val="en-US"/>
        </w:rPr>
        <w:t xml:space="preserve"> </w:t>
      </w:r>
      <w:r w:rsidRPr="001971B0">
        <w:rPr>
          <w:i/>
          <w:lang w:val="en-US"/>
        </w:rPr>
        <w:t>Ibid.</w:t>
      </w:r>
      <w:r w:rsidRPr="00E47227">
        <w:rPr>
          <w:lang w:val="en-US"/>
        </w:rPr>
        <w:t xml:space="preserve"> </w:t>
      </w:r>
    </w:p>
  </w:footnote>
  <w:footnote w:id="50">
    <w:p w:rsidR="008D4F0C" w:rsidRPr="00E47227" w:rsidRDefault="008D4F0C" w:rsidP="008D4F0C">
      <w:pPr>
        <w:pStyle w:val="FootnoteText"/>
        <w:rPr>
          <w:lang w:val="en-US"/>
        </w:rPr>
      </w:pPr>
      <w:r>
        <w:rPr>
          <w:rStyle w:val="FootnoteReference"/>
        </w:rPr>
        <w:footnoteRef/>
      </w:r>
      <w:r w:rsidRPr="00E47227">
        <w:rPr>
          <w:lang w:val="en-US"/>
        </w:rPr>
        <w:t xml:space="preserve"> </w:t>
      </w:r>
      <w:r w:rsidRPr="001971B0">
        <w:rPr>
          <w:i/>
          <w:lang w:val="en-US"/>
        </w:rPr>
        <w:t>Ibid</w:t>
      </w:r>
      <w:r>
        <w:rPr>
          <w:lang w:val="en-US"/>
        </w:rPr>
        <w:t>.</w:t>
      </w:r>
      <w:r w:rsidRPr="002C7617">
        <w:rPr>
          <w:lang w:val="en-US"/>
        </w:rPr>
        <w:t xml:space="preserve">, </w:t>
      </w:r>
      <w:r>
        <w:t>σ</w:t>
      </w:r>
      <w:r>
        <w:rPr>
          <w:lang w:val="en-US"/>
        </w:rPr>
        <w:t>. 199.</w:t>
      </w:r>
    </w:p>
  </w:footnote>
  <w:footnote w:id="51">
    <w:p w:rsidR="008D4F0C" w:rsidRPr="001971B0" w:rsidRDefault="008D4F0C" w:rsidP="008D4F0C">
      <w:pPr>
        <w:pStyle w:val="FootnoteText"/>
        <w:rPr>
          <w:i/>
          <w:lang w:val="en-US"/>
        </w:rPr>
      </w:pPr>
      <w:r>
        <w:rPr>
          <w:rStyle w:val="FootnoteReference"/>
        </w:rPr>
        <w:footnoteRef/>
      </w:r>
      <w:r w:rsidRPr="00805DC7">
        <w:rPr>
          <w:lang w:val="en-US"/>
        </w:rPr>
        <w:t xml:space="preserve"> </w:t>
      </w:r>
      <w:r w:rsidRPr="001971B0">
        <w:rPr>
          <w:i/>
          <w:lang w:val="en-US"/>
        </w:rPr>
        <w:t xml:space="preserve">Ibid. </w:t>
      </w:r>
    </w:p>
  </w:footnote>
  <w:footnote w:id="52">
    <w:p w:rsidR="008D4F0C" w:rsidRPr="003C0614" w:rsidRDefault="008D4F0C" w:rsidP="008D4F0C">
      <w:pPr>
        <w:pStyle w:val="FootnoteText"/>
        <w:rPr>
          <w:i/>
          <w:lang w:val="en-US"/>
        </w:rPr>
      </w:pPr>
      <w:r>
        <w:rPr>
          <w:rStyle w:val="FootnoteReference"/>
        </w:rPr>
        <w:footnoteRef/>
      </w:r>
      <w:r w:rsidRPr="009767CF">
        <w:rPr>
          <w:lang w:val="en-US"/>
        </w:rPr>
        <w:t xml:space="preserve"> </w:t>
      </w:r>
      <w:r w:rsidRPr="003C0614">
        <w:rPr>
          <w:i/>
          <w:lang w:val="en-US"/>
        </w:rPr>
        <w:t xml:space="preserve">Ibid. </w:t>
      </w:r>
    </w:p>
  </w:footnote>
  <w:footnote w:id="53">
    <w:p w:rsidR="008D4F0C" w:rsidRPr="00286FF1" w:rsidRDefault="008D4F0C" w:rsidP="008D4F0C">
      <w:pPr>
        <w:pStyle w:val="FootnoteText"/>
        <w:jc w:val="both"/>
        <w:rPr>
          <w:lang w:val="en-US"/>
        </w:rPr>
      </w:pPr>
      <w:r>
        <w:rPr>
          <w:rStyle w:val="FootnoteReference"/>
        </w:rPr>
        <w:footnoteRef/>
      </w:r>
      <w:r w:rsidRPr="00286FF1">
        <w:rPr>
          <w:lang w:val="en-US"/>
        </w:rPr>
        <w:t xml:space="preserve"> </w:t>
      </w:r>
      <w:r w:rsidRPr="00286FF1">
        <w:rPr>
          <w:i/>
          <w:lang w:val="en-US"/>
        </w:rPr>
        <w:t>E.J. Rosi-Marshall et al.</w:t>
      </w:r>
      <w:r w:rsidRPr="00286FF1">
        <w:rPr>
          <w:lang w:val="en-US"/>
        </w:rPr>
        <w:t xml:space="preserve">, </w:t>
      </w:r>
      <w:r>
        <w:rPr>
          <w:lang w:val="en-US"/>
        </w:rPr>
        <w:t>“Toxins in transgenic c</w:t>
      </w:r>
      <w:r w:rsidRPr="00286FF1">
        <w:rPr>
          <w:lang w:val="en-US"/>
        </w:rPr>
        <w:t>rop byproducts</w:t>
      </w:r>
      <w:r>
        <w:rPr>
          <w:lang w:val="en-US"/>
        </w:rPr>
        <w:t xml:space="preserve"> may affect headwater stream ecosystems”, Proceedings of the National Academy of Science (PNAS), Vol. 104(41), 9.10.2007, </w:t>
      </w:r>
      <w:r>
        <w:t>σ</w:t>
      </w:r>
      <w:r w:rsidRPr="00286FF1">
        <w:rPr>
          <w:lang w:val="en-US"/>
        </w:rPr>
        <w:t xml:space="preserve">. 16204-16208. </w:t>
      </w:r>
      <w:r>
        <w:rPr>
          <w:lang w:val="en-US"/>
        </w:rPr>
        <w:t xml:space="preserve"> </w:t>
      </w:r>
    </w:p>
  </w:footnote>
  <w:footnote w:id="54">
    <w:p w:rsidR="008D4F0C" w:rsidRPr="00EF1E0A" w:rsidRDefault="008D4F0C" w:rsidP="008D4F0C">
      <w:pPr>
        <w:pStyle w:val="FootnoteText"/>
        <w:jc w:val="both"/>
      </w:pPr>
      <w:r>
        <w:rPr>
          <w:rStyle w:val="FootnoteReference"/>
        </w:rPr>
        <w:footnoteRef/>
      </w:r>
      <w:r>
        <w:t xml:space="preserve"> Βλ., εφημερίδα </w:t>
      </w:r>
      <w:r>
        <w:rPr>
          <w:lang w:val="en-US"/>
        </w:rPr>
        <w:t>The</w:t>
      </w:r>
      <w:r w:rsidRPr="00EF1E0A">
        <w:t xml:space="preserve"> </w:t>
      </w:r>
      <w:r>
        <w:rPr>
          <w:lang w:val="en-US"/>
        </w:rPr>
        <w:t>Independent</w:t>
      </w:r>
      <w:r w:rsidRPr="00EF1E0A">
        <w:t>, 29.9.2010 (</w:t>
      </w:r>
      <w:r>
        <w:t xml:space="preserve">όπου αναφέρεται ότι η μελέτη δημοσιεύτηκε στις 27.9.2010 στο </w:t>
      </w:r>
      <w:r>
        <w:rPr>
          <w:lang w:val="en-US"/>
        </w:rPr>
        <w:t>PNAS</w:t>
      </w:r>
      <w:r>
        <w:t>).</w:t>
      </w:r>
    </w:p>
  </w:footnote>
  <w:footnote w:id="55">
    <w:p w:rsidR="008D4F0C" w:rsidRPr="003C0614" w:rsidRDefault="008D4F0C" w:rsidP="008D4F0C">
      <w:pPr>
        <w:pStyle w:val="FootnoteText"/>
        <w:rPr>
          <w:lang w:val="en-US"/>
        </w:rPr>
      </w:pPr>
      <w:r>
        <w:rPr>
          <w:rStyle w:val="FootnoteReference"/>
        </w:rPr>
        <w:footnoteRef/>
      </w:r>
      <w:r w:rsidRPr="003C0614">
        <w:rPr>
          <w:lang w:val="en-US"/>
        </w:rPr>
        <w:t xml:space="preserve"> </w:t>
      </w:r>
      <w:r>
        <w:rPr>
          <w:i/>
          <w:lang w:val="en-US"/>
        </w:rPr>
        <w:t>D</w:t>
      </w:r>
      <w:r w:rsidRPr="006436A9">
        <w:rPr>
          <w:i/>
          <w:lang w:val="en-US"/>
        </w:rPr>
        <w:t>.</w:t>
      </w:r>
      <w:r>
        <w:rPr>
          <w:i/>
          <w:lang w:val="en-US"/>
        </w:rPr>
        <w:t>A</w:t>
      </w:r>
      <w:r w:rsidRPr="006436A9">
        <w:rPr>
          <w:i/>
          <w:lang w:val="en-US"/>
        </w:rPr>
        <w:t xml:space="preserve">. </w:t>
      </w:r>
      <w:r>
        <w:rPr>
          <w:i/>
          <w:lang w:val="en-US"/>
        </w:rPr>
        <w:t>Andow</w:t>
      </w:r>
      <w:r w:rsidRPr="006436A9">
        <w:rPr>
          <w:i/>
          <w:lang w:val="en-US"/>
        </w:rPr>
        <w:t xml:space="preserve">, </w:t>
      </w:r>
      <w:r>
        <w:rPr>
          <w:i/>
          <w:lang w:val="en-US"/>
        </w:rPr>
        <w:t>C</w:t>
      </w:r>
      <w:r w:rsidRPr="006436A9">
        <w:rPr>
          <w:i/>
          <w:lang w:val="en-US"/>
        </w:rPr>
        <w:t xml:space="preserve">. </w:t>
      </w:r>
      <w:r>
        <w:rPr>
          <w:i/>
          <w:lang w:val="en-US"/>
        </w:rPr>
        <w:t>Zwahlen</w:t>
      </w:r>
      <w:r w:rsidRPr="006436A9">
        <w:rPr>
          <w:lang w:val="en-US"/>
        </w:rPr>
        <w:t>, “</w:t>
      </w:r>
      <w:r>
        <w:rPr>
          <w:lang w:val="en-US"/>
        </w:rPr>
        <w:t>Assessing</w:t>
      </w:r>
      <w:r w:rsidRPr="006436A9">
        <w:rPr>
          <w:lang w:val="en-US"/>
        </w:rPr>
        <w:t xml:space="preserve"> </w:t>
      </w:r>
      <w:r>
        <w:rPr>
          <w:lang w:val="en-US"/>
        </w:rPr>
        <w:t>Environmental</w:t>
      </w:r>
      <w:r w:rsidRPr="006436A9">
        <w:rPr>
          <w:lang w:val="en-US"/>
        </w:rPr>
        <w:t xml:space="preserve"> </w:t>
      </w:r>
      <w:r>
        <w:rPr>
          <w:lang w:val="en-US"/>
        </w:rPr>
        <w:t>Risks</w:t>
      </w:r>
      <w:r w:rsidRPr="006436A9">
        <w:rPr>
          <w:lang w:val="en-US"/>
        </w:rPr>
        <w:t xml:space="preserve"> </w:t>
      </w:r>
      <w:r>
        <w:rPr>
          <w:lang w:val="en-US"/>
        </w:rPr>
        <w:t>of</w:t>
      </w:r>
      <w:r w:rsidRPr="006436A9">
        <w:rPr>
          <w:lang w:val="en-US"/>
        </w:rPr>
        <w:t xml:space="preserve"> </w:t>
      </w:r>
      <w:r>
        <w:rPr>
          <w:lang w:val="en-US"/>
        </w:rPr>
        <w:t>Transgenic</w:t>
      </w:r>
      <w:r w:rsidRPr="006436A9">
        <w:rPr>
          <w:lang w:val="en-US"/>
        </w:rPr>
        <w:t xml:space="preserve"> </w:t>
      </w:r>
      <w:r>
        <w:rPr>
          <w:lang w:val="en-US"/>
        </w:rPr>
        <w:t>Plants</w:t>
      </w:r>
      <w:r w:rsidRPr="006436A9">
        <w:rPr>
          <w:lang w:val="en-US"/>
        </w:rPr>
        <w:t xml:space="preserve">”, </w:t>
      </w:r>
      <w:r>
        <w:t>ό</w:t>
      </w:r>
      <w:r w:rsidRPr="006436A9">
        <w:rPr>
          <w:lang w:val="en-US"/>
        </w:rPr>
        <w:t>.</w:t>
      </w:r>
      <w:r>
        <w:t>π</w:t>
      </w:r>
      <w:r>
        <w:rPr>
          <w:lang w:val="en-US"/>
        </w:rPr>
        <w:t>.</w:t>
      </w:r>
      <w:r w:rsidRPr="002C7617">
        <w:rPr>
          <w:lang w:val="en-US"/>
        </w:rPr>
        <w:t xml:space="preserve">, </w:t>
      </w:r>
      <w:r>
        <w:t>σ</w:t>
      </w:r>
      <w:r>
        <w:rPr>
          <w:lang w:val="en-US"/>
        </w:rPr>
        <w:t xml:space="preserve">. </w:t>
      </w:r>
      <w:r w:rsidRPr="003C0614">
        <w:rPr>
          <w:lang w:val="en-US"/>
        </w:rPr>
        <w:t>2</w:t>
      </w:r>
      <w:r w:rsidRPr="00F17E8F">
        <w:rPr>
          <w:lang w:val="en-US"/>
        </w:rPr>
        <w:t>00</w:t>
      </w:r>
      <w:r>
        <w:rPr>
          <w:lang w:val="en-US"/>
        </w:rPr>
        <w:t>.</w:t>
      </w:r>
    </w:p>
  </w:footnote>
  <w:footnote w:id="56">
    <w:p w:rsidR="008D4F0C" w:rsidRPr="009E1DAC" w:rsidRDefault="008D4F0C" w:rsidP="008D4F0C">
      <w:pPr>
        <w:pStyle w:val="FootnoteText"/>
        <w:rPr>
          <w:lang w:val="en-US"/>
        </w:rPr>
      </w:pPr>
      <w:r>
        <w:rPr>
          <w:rStyle w:val="FootnoteReference"/>
        </w:rPr>
        <w:footnoteRef/>
      </w:r>
      <w:r w:rsidRPr="00F17E8F">
        <w:rPr>
          <w:lang w:val="en-US"/>
        </w:rPr>
        <w:t xml:space="preserve"> </w:t>
      </w:r>
      <w:r w:rsidRPr="003C0614">
        <w:rPr>
          <w:i/>
          <w:lang w:val="en-US"/>
        </w:rPr>
        <w:t>Ibid.</w:t>
      </w:r>
      <w:r w:rsidRPr="009E1DAC">
        <w:rPr>
          <w:i/>
          <w:lang w:val="en-US"/>
        </w:rPr>
        <w:t xml:space="preserve"> </w:t>
      </w:r>
    </w:p>
  </w:footnote>
  <w:footnote w:id="57">
    <w:p w:rsidR="008D4F0C" w:rsidRPr="00CA7259" w:rsidRDefault="008D4F0C" w:rsidP="008D4F0C">
      <w:pPr>
        <w:pStyle w:val="FootnoteText"/>
        <w:rPr>
          <w:lang w:val="en-US"/>
        </w:rPr>
      </w:pPr>
      <w:r>
        <w:rPr>
          <w:rStyle w:val="FootnoteReference"/>
        </w:rPr>
        <w:footnoteRef/>
      </w:r>
      <w:r w:rsidRPr="009E1DAC">
        <w:rPr>
          <w:lang w:val="en-US"/>
        </w:rPr>
        <w:t xml:space="preserve"> </w:t>
      </w:r>
      <w:r w:rsidRPr="001971B0">
        <w:rPr>
          <w:i/>
          <w:lang w:val="en-US"/>
        </w:rPr>
        <w:t>Ibid.</w:t>
      </w:r>
      <w:r w:rsidRPr="002C7617">
        <w:rPr>
          <w:lang w:val="en-US"/>
        </w:rPr>
        <w:t xml:space="preserve">, </w:t>
      </w:r>
      <w:r>
        <w:t>σ</w:t>
      </w:r>
      <w:r>
        <w:rPr>
          <w:lang w:val="en-US"/>
        </w:rPr>
        <w:t>.</w:t>
      </w:r>
      <w:r w:rsidRPr="00CA7259">
        <w:rPr>
          <w:lang w:val="en-US"/>
        </w:rPr>
        <w:t xml:space="preserve"> 197.</w:t>
      </w:r>
    </w:p>
  </w:footnote>
  <w:footnote w:id="58">
    <w:p w:rsidR="008D4F0C" w:rsidRPr="003F5C56" w:rsidRDefault="008D4F0C" w:rsidP="008D4F0C">
      <w:pPr>
        <w:pStyle w:val="FootnoteText"/>
        <w:rPr>
          <w:lang w:val="en-US"/>
        </w:rPr>
      </w:pPr>
      <w:r>
        <w:rPr>
          <w:rStyle w:val="FootnoteReference"/>
        </w:rPr>
        <w:footnoteRef/>
      </w:r>
      <w:r w:rsidRPr="00CA7259">
        <w:rPr>
          <w:lang w:val="en-US"/>
        </w:rPr>
        <w:t xml:space="preserve"> </w:t>
      </w:r>
      <w:r w:rsidRPr="001971B0">
        <w:rPr>
          <w:i/>
          <w:lang w:val="en-US"/>
        </w:rPr>
        <w:t>Ibid.</w:t>
      </w:r>
      <w:r w:rsidRPr="002C7617">
        <w:rPr>
          <w:lang w:val="en-US"/>
        </w:rPr>
        <w:t xml:space="preserve">, </w:t>
      </w:r>
      <w:r>
        <w:t>σ</w:t>
      </w:r>
      <w:r>
        <w:rPr>
          <w:lang w:val="en-US"/>
        </w:rPr>
        <w:t xml:space="preserve">. </w:t>
      </w:r>
      <w:r w:rsidRPr="003C0614">
        <w:rPr>
          <w:lang w:val="en-US"/>
        </w:rPr>
        <w:t>2</w:t>
      </w:r>
      <w:r>
        <w:rPr>
          <w:lang w:val="en-US"/>
        </w:rPr>
        <w:t>0</w:t>
      </w:r>
      <w:r w:rsidRPr="003F5C56">
        <w:rPr>
          <w:lang w:val="en-US"/>
        </w:rPr>
        <w:t>3</w:t>
      </w:r>
      <w:r>
        <w:rPr>
          <w:lang w:val="en-US"/>
        </w:rPr>
        <w:t>.</w:t>
      </w:r>
    </w:p>
  </w:footnote>
  <w:footnote w:id="59">
    <w:p w:rsidR="008D4F0C" w:rsidRPr="003F5C56" w:rsidRDefault="008D4F0C" w:rsidP="008D4F0C">
      <w:pPr>
        <w:pStyle w:val="FootnoteText"/>
        <w:jc w:val="both"/>
        <w:rPr>
          <w:i/>
          <w:lang w:val="en-US"/>
        </w:rPr>
      </w:pPr>
      <w:r>
        <w:rPr>
          <w:rStyle w:val="FootnoteReference"/>
        </w:rPr>
        <w:footnoteRef/>
      </w:r>
      <w:r w:rsidRPr="003F5C56">
        <w:rPr>
          <w:lang w:val="fr-FR"/>
        </w:rPr>
        <w:t xml:space="preserve"> </w:t>
      </w:r>
      <w:r w:rsidRPr="003F5C56">
        <w:rPr>
          <w:i/>
          <w:lang w:val="fr-FR"/>
        </w:rPr>
        <w:t>J. Spiroux de Vendomois,F. R</w:t>
      </w:r>
      <w:r>
        <w:rPr>
          <w:i/>
          <w:lang w:val="fr-FR"/>
        </w:rPr>
        <w:t xml:space="preserve">oullier. </w:t>
      </w:r>
      <w:r w:rsidRPr="003F5C56">
        <w:rPr>
          <w:i/>
          <w:lang w:val="en-US"/>
        </w:rPr>
        <w:t>D. S</w:t>
      </w:r>
      <w:r>
        <w:rPr>
          <w:i/>
          <w:lang w:val="en-US"/>
        </w:rPr>
        <w:t>ellier, G.-E. Seralini</w:t>
      </w:r>
      <w:r>
        <w:rPr>
          <w:lang w:val="en-US"/>
        </w:rPr>
        <w:t xml:space="preserve">, “A Comparison of the Effects of Three GM Corn Varieties on Mammalian Health”, International Journal of Biological Sciences, Vol. 5(7), 2009, </w:t>
      </w:r>
      <w:r>
        <w:t>σ</w:t>
      </w:r>
      <w:r w:rsidRPr="003F5C56">
        <w:rPr>
          <w:lang w:val="en-US"/>
        </w:rPr>
        <w:t xml:space="preserve">. 718. </w:t>
      </w:r>
      <w:r w:rsidRPr="003F5C56">
        <w:rPr>
          <w:i/>
          <w:lang w:val="en-US"/>
        </w:rPr>
        <w:t xml:space="preserve"> </w:t>
      </w:r>
    </w:p>
  </w:footnote>
  <w:footnote w:id="60">
    <w:p w:rsidR="008D4F0C" w:rsidRPr="00D9720F" w:rsidRDefault="008D4F0C" w:rsidP="008D4F0C">
      <w:pPr>
        <w:pStyle w:val="FootnoteText"/>
        <w:jc w:val="both"/>
        <w:rPr>
          <w:lang w:val="en-US"/>
        </w:rPr>
      </w:pPr>
      <w:r>
        <w:rPr>
          <w:rStyle w:val="FootnoteReference"/>
        </w:rPr>
        <w:footnoteRef/>
      </w:r>
      <w:r w:rsidRPr="00D9720F">
        <w:rPr>
          <w:lang w:val="en-US"/>
        </w:rPr>
        <w:t xml:space="preserve"> </w:t>
      </w:r>
      <w:r>
        <w:rPr>
          <w:i/>
          <w:lang w:val="en-US"/>
        </w:rPr>
        <w:t xml:space="preserve">U.S. National Research Council, </w:t>
      </w:r>
      <w:r>
        <w:rPr>
          <w:lang w:val="en-US"/>
        </w:rPr>
        <w:t xml:space="preserve">Genetically Modified Pest-Protected Plants,  Washington D.C., 2000, </w:t>
      </w:r>
      <w:r>
        <w:t>σ</w:t>
      </w:r>
      <w:r w:rsidRPr="00D9720F">
        <w:rPr>
          <w:lang w:val="en-US"/>
        </w:rPr>
        <w:t>. 69-72.</w:t>
      </w:r>
      <w:r>
        <w:rPr>
          <w:lang w:val="en-US"/>
        </w:rPr>
        <w:t xml:space="preserve"> </w:t>
      </w:r>
    </w:p>
  </w:footnote>
  <w:footnote w:id="61">
    <w:p w:rsidR="008D4F0C" w:rsidRPr="00982A58" w:rsidRDefault="008D4F0C" w:rsidP="008D4F0C">
      <w:pPr>
        <w:pStyle w:val="FootnoteText"/>
        <w:jc w:val="both"/>
        <w:rPr>
          <w:lang w:val="en-US"/>
        </w:rPr>
      </w:pPr>
      <w:r>
        <w:rPr>
          <w:rStyle w:val="FootnoteReference"/>
        </w:rPr>
        <w:footnoteRef/>
      </w:r>
      <w:r w:rsidRPr="00982A58">
        <w:rPr>
          <w:lang w:val="en-US"/>
        </w:rPr>
        <w:t xml:space="preserve"> </w:t>
      </w:r>
      <w:r>
        <w:rPr>
          <w:i/>
          <w:lang w:val="en-US"/>
        </w:rPr>
        <w:t>WHO</w:t>
      </w:r>
      <w:r w:rsidRPr="00982A58">
        <w:rPr>
          <w:lang w:val="en-US"/>
        </w:rPr>
        <w:t xml:space="preserve">, </w:t>
      </w:r>
      <w:r>
        <w:rPr>
          <w:lang w:val="en-US"/>
        </w:rPr>
        <w:t>Modern</w:t>
      </w:r>
      <w:r w:rsidRPr="00982A58">
        <w:rPr>
          <w:lang w:val="en-US"/>
        </w:rPr>
        <w:t xml:space="preserve"> </w:t>
      </w:r>
      <w:r>
        <w:rPr>
          <w:lang w:val="en-US"/>
        </w:rPr>
        <w:t>Food</w:t>
      </w:r>
      <w:r w:rsidRPr="00982A58">
        <w:rPr>
          <w:lang w:val="en-US"/>
        </w:rPr>
        <w:t xml:space="preserve"> </w:t>
      </w:r>
      <w:r>
        <w:rPr>
          <w:lang w:val="en-US"/>
        </w:rPr>
        <w:t>Biotechnology</w:t>
      </w:r>
      <w:r w:rsidRPr="00982A58">
        <w:rPr>
          <w:lang w:val="en-US"/>
        </w:rPr>
        <w:t xml:space="preserve">, </w:t>
      </w:r>
      <w:r>
        <w:rPr>
          <w:lang w:val="en-US"/>
        </w:rPr>
        <w:t>Human</w:t>
      </w:r>
      <w:r w:rsidRPr="00982A58">
        <w:rPr>
          <w:lang w:val="en-US"/>
        </w:rPr>
        <w:t xml:space="preserve"> </w:t>
      </w:r>
      <w:r>
        <w:rPr>
          <w:lang w:val="en-US"/>
        </w:rPr>
        <w:t>Health</w:t>
      </w:r>
      <w:r w:rsidRPr="00982A58">
        <w:rPr>
          <w:lang w:val="en-US"/>
        </w:rPr>
        <w:t xml:space="preserve"> </w:t>
      </w:r>
      <w:r>
        <w:rPr>
          <w:lang w:val="en-US"/>
        </w:rPr>
        <w:t>and</w:t>
      </w:r>
      <w:r w:rsidRPr="00982A58">
        <w:rPr>
          <w:lang w:val="en-US"/>
        </w:rPr>
        <w:t xml:space="preserve"> </w:t>
      </w:r>
      <w:r>
        <w:rPr>
          <w:lang w:val="en-US"/>
        </w:rPr>
        <w:t>Development</w:t>
      </w:r>
      <w:r w:rsidRPr="00982A58">
        <w:rPr>
          <w:lang w:val="en-US"/>
        </w:rPr>
        <w:t xml:space="preserve">: </w:t>
      </w:r>
      <w:r>
        <w:rPr>
          <w:lang w:val="en-US"/>
        </w:rPr>
        <w:t>an</w:t>
      </w:r>
      <w:r w:rsidRPr="00982A58">
        <w:rPr>
          <w:lang w:val="en-US"/>
        </w:rPr>
        <w:t xml:space="preserve"> </w:t>
      </w:r>
      <w:r>
        <w:rPr>
          <w:lang w:val="en-US"/>
        </w:rPr>
        <w:t>Evidence</w:t>
      </w:r>
      <w:r w:rsidRPr="00982A58">
        <w:rPr>
          <w:lang w:val="en-US"/>
        </w:rPr>
        <w:t xml:space="preserve">- </w:t>
      </w:r>
      <w:r>
        <w:rPr>
          <w:lang w:val="en-US"/>
        </w:rPr>
        <w:t>Based</w:t>
      </w:r>
      <w:r w:rsidRPr="00982A58">
        <w:rPr>
          <w:lang w:val="en-US"/>
        </w:rPr>
        <w:t xml:space="preserve"> </w:t>
      </w:r>
      <w:r>
        <w:rPr>
          <w:lang w:val="en-US"/>
        </w:rPr>
        <w:t>Study</w:t>
      </w:r>
      <w:r w:rsidRPr="00982A58">
        <w:rPr>
          <w:lang w:val="en-US"/>
        </w:rPr>
        <w:t xml:space="preserve">, </w:t>
      </w:r>
      <w:r>
        <w:t>ό</w:t>
      </w:r>
      <w:r w:rsidRPr="00982A58">
        <w:rPr>
          <w:lang w:val="en-US"/>
        </w:rPr>
        <w:t>.</w:t>
      </w:r>
      <w:r>
        <w:t>π</w:t>
      </w:r>
      <w:r w:rsidRPr="00982A58">
        <w:rPr>
          <w:lang w:val="en-US"/>
        </w:rPr>
        <w:t xml:space="preserve">., </w:t>
      </w:r>
      <w:r>
        <w:t>σ</w:t>
      </w:r>
      <w:r w:rsidRPr="00982A58">
        <w:rPr>
          <w:lang w:val="en-US"/>
        </w:rPr>
        <w:t xml:space="preserve">. </w:t>
      </w:r>
      <w:r>
        <w:rPr>
          <w:lang w:val="en-US"/>
        </w:rPr>
        <w:t xml:space="preserve">iii.    </w:t>
      </w:r>
    </w:p>
  </w:footnote>
  <w:footnote w:id="62">
    <w:p w:rsidR="008D4F0C" w:rsidRPr="00647D0F" w:rsidRDefault="008D4F0C" w:rsidP="008D4F0C">
      <w:pPr>
        <w:pStyle w:val="FootnoteText"/>
        <w:rPr>
          <w:lang w:val="en-US"/>
        </w:rPr>
      </w:pPr>
      <w:r>
        <w:rPr>
          <w:rStyle w:val="FootnoteReference"/>
        </w:rPr>
        <w:footnoteRef/>
      </w:r>
      <w:r w:rsidRPr="0057570F">
        <w:rPr>
          <w:lang w:val="en-US"/>
        </w:rPr>
        <w:t xml:space="preserve"> </w:t>
      </w:r>
      <w:r w:rsidRPr="001971B0">
        <w:rPr>
          <w:i/>
          <w:lang w:val="en-US"/>
        </w:rPr>
        <w:t>Ibid.</w:t>
      </w:r>
      <w:r w:rsidRPr="002C7617">
        <w:rPr>
          <w:lang w:val="en-US"/>
        </w:rPr>
        <w:t xml:space="preserve">, </w:t>
      </w:r>
      <w:r>
        <w:t>σ</w:t>
      </w:r>
      <w:r>
        <w:rPr>
          <w:lang w:val="en-US"/>
        </w:rPr>
        <w:t>.</w:t>
      </w:r>
      <w:r w:rsidRPr="00647D0F">
        <w:rPr>
          <w:lang w:val="en-US"/>
        </w:rPr>
        <w:t xml:space="preserve"> 53-55.</w:t>
      </w:r>
    </w:p>
  </w:footnote>
  <w:footnote w:id="63">
    <w:p w:rsidR="008D4F0C" w:rsidRPr="004564C4" w:rsidRDefault="008D4F0C" w:rsidP="008D4F0C">
      <w:pPr>
        <w:pStyle w:val="FootnoteText"/>
        <w:rPr>
          <w:lang w:val="en-US"/>
        </w:rPr>
      </w:pPr>
      <w:r>
        <w:rPr>
          <w:rStyle w:val="FootnoteReference"/>
        </w:rPr>
        <w:footnoteRef/>
      </w:r>
      <w:r w:rsidRPr="00647D0F">
        <w:rPr>
          <w:lang w:val="en-US"/>
        </w:rPr>
        <w:t xml:space="preserve"> </w:t>
      </w:r>
      <w:r w:rsidRPr="001971B0">
        <w:rPr>
          <w:i/>
          <w:lang w:val="en-US"/>
        </w:rPr>
        <w:t>Ibid.</w:t>
      </w:r>
      <w:r w:rsidRPr="002C7617">
        <w:rPr>
          <w:lang w:val="en-US"/>
        </w:rPr>
        <w:t xml:space="preserve">, </w:t>
      </w:r>
      <w:r>
        <w:t>σ</w:t>
      </w:r>
      <w:r>
        <w:rPr>
          <w:lang w:val="en-US"/>
        </w:rPr>
        <w:t>.</w:t>
      </w:r>
      <w:r w:rsidRPr="00647D0F">
        <w:rPr>
          <w:lang w:val="en-US"/>
        </w:rPr>
        <w:t xml:space="preserve"> 53</w:t>
      </w:r>
      <w:r w:rsidRPr="004564C4">
        <w:rPr>
          <w:lang w:val="en-US"/>
        </w:rPr>
        <w:t>.</w:t>
      </w:r>
    </w:p>
  </w:footnote>
  <w:footnote w:id="64">
    <w:p w:rsidR="008D4F0C" w:rsidRPr="00AF662F" w:rsidRDefault="008D4F0C" w:rsidP="008D4F0C">
      <w:pPr>
        <w:pStyle w:val="FootnoteText"/>
        <w:jc w:val="both"/>
        <w:rPr>
          <w:lang w:val="en-US"/>
        </w:rPr>
      </w:pPr>
      <w:r>
        <w:rPr>
          <w:rStyle w:val="FootnoteReference"/>
        </w:rPr>
        <w:footnoteRef/>
      </w:r>
      <w:r w:rsidRPr="004564C4">
        <w:rPr>
          <w:lang w:val="en-US"/>
        </w:rPr>
        <w:t xml:space="preserve"> </w:t>
      </w:r>
      <w:r>
        <w:rPr>
          <w:i/>
          <w:lang w:val="en-US"/>
        </w:rPr>
        <w:t>M. Rosso Grossman</w:t>
      </w:r>
      <w:r>
        <w:rPr>
          <w:lang w:val="en-US"/>
        </w:rPr>
        <w:t xml:space="preserve">, “Biotechnology, Property Rights and the Environment”, American Journal of Comparative Law, Vol. 50, 2002, </w:t>
      </w:r>
      <w:r>
        <w:t>σ</w:t>
      </w:r>
      <w:r w:rsidRPr="004564C4">
        <w:rPr>
          <w:lang w:val="en-US"/>
        </w:rPr>
        <w:t xml:space="preserve">. </w:t>
      </w:r>
      <w:r>
        <w:rPr>
          <w:lang w:val="en-US"/>
        </w:rPr>
        <w:t>218</w:t>
      </w:r>
      <w:r w:rsidRPr="00AF662F">
        <w:rPr>
          <w:lang w:val="en-US"/>
        </w:rPr>
        <w:t>.</w:t>
      </w:r>
    </w:p>
  </w:footnote>
  <w:footnote w:id="65">
    <w:p w:rsidR="008D4F0C" w:rsidRPr="00957BE0" w:rsidRDefault="008D4F0C" w:rsidP="008D4F0C">
      <w:pPr>
        <w:pStyle w:val="FootnoteText"/>
        <w:jc w:val="both"/>
      </w:pPr>
      <w:r>
        <w:rPr>
          <w:rStyle w:val="FootnoteReference"/>
        </w:rPr>
        <w:footnoteRef/>
      </w:r>
      <w:r w:rsidRPr="007C234E">
        <w:rPr>
          <w:lang w:val="en-US"/>
        </w:rPr>
        <w:t xml:space="preserve"> </w:t>
      </w:r>
      <w:r>
        <w:rPr>
          <w:i/>
          <w:lang w:val="en-US"/>
        </w:rPr>
        <w:t>Union of Concerned Scientists</w:t>
      </w:r>
      <w:r>
        <w:rPr>
          <w:lang w:val="en-US"/>
        </w:rPr>
        <w:t>, Failing to Yield: Evaluating the Performance of Genetically Engineered Crops, April 2009.</w:t>
      </w:r>
      <w:r w:rsidRPr="000A582C">
        <w:rPr>
          <w:lang w:val="en-US"/>
        </w:rPr>
        <w:t xml:space="preserve"> </w:t>
      </w:r>
      <w:r>
        <w:t>Διαθέσιμο</w:t>
      </w:r>
      <w:r w:rsidRPr="00957BE0">
        <w:t xml:space="preserve"> </w:t>
      </w:r>
      <w:r>
        <w:t>στο</w:t>
      </w:r>
      <w:r w:rsidRPr="00957BE0">
        <w:t xml:space="preserve">: </w:t>
      </w:r>
      <w:hyperlink r:id="rId7" w:history="1">
        <w:r w:rsidRPr="00D45C8D">
          <w:rPr>
            <w:rStyle w:val="Hyperlink"/>
            <w:lang w:val="en-US"/>
          </w:rPr>
          <w:t>www</w:t>
        </w:r>
        <w:r w:rsidRPr="00957BE0">
          <w:rPr>
            <w:rStyle w:val="Hyperlink"/>
          </w:rPr>
          <w:t>.</w:t>
        </w:r>
        <w:r w:rsidRPr="00D45C8D">
          <w:rPr>
            <w:rStyle w:val="Hyperlink"/>
            <w:lang w:val="en-US"/>
          </w:rPr>
          <w:t>ucsusa</w:t>
        </w:r>
        <w:r w:rsidRPr="00957BE0">
          <w:rPr>
            <w:rStyle w:val="Hyperlink"/>
          </w:rPr>
          <w:t>.</w:t>
        </w:r>
        <w:r w:rsidRPr="00D45C8D">
          <w:rPr>
            <w:rStyle w:val="Hyperlink"/>
            <w:lang w:val="en-US"/>
          </w:rPr>
          <w:t>org</w:t>
        </w:r>
      </w:hyperlink>
      <w:r w:rsidRPr="00957BE0">
        <w:t xml:space="preserve"> </w:t>
      </w:r>
    </w:p>
  </w:footnote>
  <w:footnote w:id="66">
    <w:p w:rsidR="008D4F0C" w:rsidRPr="00957BE0" w:rsidRDefault="008D4F0C" w:rsidP="008D4F0C">
      <w:pPr>
        <w:pStyle w:val="FootnoteText"/>
        <w:jc w:val="both"/>
        <w:rPr>
          <w:lang w:val="en-US"/>
        </w:rPr>
      </w:pPr>
      <w:r>
        <w:rPr>
          <w:rStyle w:val="FootnoteReference"/>
        </w:rPr>
        <w:footnoteRef/>
      </w:r>
      <w:r w:rsidRPr="00533005">
        <w:t xml:space="preserve"> </w:t>
      </w:r>
      <w:r w:rsidRPr="001971B0">
        <w:rPr>
          <w:i/>
          <w:lang w:val="en-US"/>
        </w:rPr>
        <w:t>Ibid</w:t>
      </w:r>
      <w:r w:rsidRPr="00533005">
        <w:rPr>
          <w:i/>
        </w:rPr>
        <w:t>.</w:t>
      </w:r>
      <w:r w:rsidRPr="00533005">
        <w:t xml:space="preserve">, </w:t>
      </w:r>
      <w:r>
        <w:t>σ</w:t>
      </w:r>
      <w:r w:rsidRPr="00533005">
        <w:t>.</w:t>
      </w:r>
      <w:r>
        <w:t xml:space="preserve"> 5. Να διευκρινιστεί εν προκειμένω ότι ο όρος εγγενής εσοδεία σημαίνει την εσοδεία εκείνη που επιτυγχάνεται όταν οι καλλιέργειες αναπτύσσονται υπό ιδανικές συνθήκες, ενώ επιχειρησιακή εσοδεία σημαίνει την εσοδεία που επιτυγχάνεται υπό συνθήκες όπου οι περιβαλλοντικοί παράγοντες όπως οι παθογόνοι οργανισμοί ή το στρες επιδρούν ώστε η εσοδεία να είναι κατά πολύ μικρότερη από την ιδανική. </w:t>
      </w:r>
      <w:r w:rsidRPr="001971B0">
        <w:rPr>
          <w:i/>
          <w:lang w:val="en-US"/>
        </w:rPr>
        <w:t>Ibid</w:t>
      </w:r>
      <w:r w:rsidRPr="00957BE0">
        <w:rPr>
          <w:i/>
          <w:lang w:val="en-US"/>
        </w:rPr>
        <w:t>.</w:t>
      </w:r>
      <w:r w:rsidRPr="00957BE0">
        <w:rPr>
          <w:lang w:val="en-US"/>
        </w:rPr>
        <w:t xml:space="preserve">, </w:t>
      </w:r>
      <w:r>
        <w:t>σ</w:t>
      </w:r>
      <w:r w:rsidRPr="00957BE0">
        <w:rPr>
          <w:lang w:val="en-US"/>
        </w:rPr>
        <w:t>. 2.</w:t>
      </w:r>
    </w:p>
  </w:footnote>
  <w:footnote w:id="67">
    <w:p w:rsidR="008D4F0C" w:rsidRPr="004D3FA5" w:rsidRDefault="008D4F0C" w:rsidP="008D4F0C">
      <w:pPr>
        <w:pStyle w:val="FootnoteText"/>
        <w:jc w:val="both"/>
        <w:rPr>
          <w:lang w:val="en-US"/>
        </w:rPr>
      </w:pPr>
      <w:r>
        <w:rPr>
          <w:rStyle w:val="FootnoteReference"/>
        </w:rPr>
        <w:footnoteRef/>
      </w:r>
      <w:r w:rsidRPr="004D3FA5">
        <w:rPr>
          <w:lang w:val="en-US"/>
        </w:rPr>
        <w:t xml:space="preserve"> </w:t>
      </w:r>
      <w:r>
        <w:rPr>
          <w:i/>
          <w:lang w:val="en-US"/>
        </w:rPr>
        <w:t>D.M. Strauss</w:t>
      </w:r>
      <w:r>
        <w:rPr>
          <w:lang w:val="en-US"/>
        </w:rPr>
        <w:t xml:space="preserve">, “Defying Nature: The Ethical Implications of Genetically Modified Plants”, Journal of Food Policy &amp; Law, Vol. 3, 2007, </w:t>
      </w:r>
      <w:r>
        <w:t>σ</w:t>
      </w:r>
      <w:r w:rsidRPr="004D3FA5">
        <w:rPr>
          <w:lang w:val="en-US"/>
        </w:rPr>
        <w:t xml:space="preserve">. 8 (1 </w:t>
      </w:r>
      <w:r>
        <w:t>επ</w:t>
      </w:r>
      <w:r w:rsidRPr="004D3FA5">
        <w:rPr>
          <w:lang w:val="en-US"/>
        </w:rPr>
        <w:t>)</w:t>
      </w:r>
    </w:p>
  </w:footnote>
  <w:footnote w:id="68">
    <w:p w:rsidR="008D4F0C" w:rsidRPr="00957BE0" w:rsidRDefault="008D4F0C" w:rsidP="008D4F0C">
      <w:pPr>
        <w:pStyle w:val="FootnoteText"/>
        <w:jc w:val="both"/>
        <w:rPr>
          <w:lang w:val="en-US"/>
        </w:rPr>
      </w:pPr>
      <w:r>
        <w:rPr>
          <w:rStyle w:val="FootnoteReference"/>
        </w:rPr>
        <w:footnoteRef/>
      </w:r>
      <w:r w:rsidRPr="00F97452">
        <w:rPr>
          <w:lang w:val="en-US"/>
        </w:rPr>
        <w:t xml:space="preserve"> </w:t>
      </w:r>
      <w:r>
        <w:rPr>
          <w:i/>
          <w:lang w:val="en-US"/>
        </w:rPr>
        <w:t>Monsanto</w:t>
      </w:r>
      <w:r>
        <w:rPr>
          <w:lang w:val="en-US"/>
        </w:rPr>
        <w:t xml:space="preserve">, Our Pledge. </w:t>
      </w:r>
      <w:r>
        <w:t>Διαθέσιμο</w:t>
      </w:r>
      <w:r w:rsidRPr="00957BE0">
        <w:rPr>
          <w:lang w:val="en-US"/>
        </w:rPr>
        <w:t xml:space="preserve"> </w:t>
      </w:r>
      <w:r>
        <w:t>στο</w:t>
      </w:r>
      <w:r w:rsidRPr="00957BE0">
        <w:rPr>
          <w:lang w:val="en-US"/>
        </w:rPr>
        <w:t>:</w:t>
      </w:r>
    </w:p>
    <w:p w:rsidR="008D4F0C" w:rsidRPr="00957BE0" w:rsidRDefault="003522D9" w:rsidP="008D4F0C">
      <w:pPr>
        <w:pStyle w:val="FootnoteText"/>
        <w:jc w:val="both"/>
        <w:rPr>
          <w:lang w:val="en-US"/>
        </w:rPr>
      </w:pPr>
      <w:hyperlink r:id="rId8" w:history="1">
        <w:r w:rsidR="008D4F0C" w:rsidRPr="00D45C8D">
          <w:rPr>
            <w:rStyle w:val="Hyperlink"/>
            <w:lang w:val="en-US"/>
          </w:rPr>
          <w:t>http</w:t>
        </w:r>
        <w:r w:rsidR="008D4F0C" w:rsidRPr="00957BE0">
          <w:rPr>
            <w:rStyle w:val="Hyperlink"/>
            <w:lang w:val="en-US"/>
          </w:rPr>
          <w:t>://</w:t>
        </w:r>
        <w:r w:rsidR="008D4F0C" w:rsidRPr="00D45C8D">
          <w:rPr>
            <w:rStyle w:val="Hyperlink"/>
            <w:lang w:val="en-US"/>
          </w:rPr>
          <w:t>www</w:t>
        </w:r>
        <w:r w:rsidR="008D4F0C" w:rsidRPr="00957BE0">
          <w:rPr>
            <w:rStyle w:val="Hyperlink"/>
            <w:lang w:val="en-US"/>
          </w:rPr>
          <w:t>.</w:t>
        </w:r>
        <w:r w:rsidR="008D4F0C" w:rsidRPr="00D45C8D">
          <w:rPr>
            <w:rStyle w:val="Hyperlink"/>
            <w:lang w:val="en-US"/>
          </w:rPr>
          <w:t>monsanto</w:t>
        </w:r>
        <w:r w:rsidR="008D4F0C" w:rsidRPr="00957BE0">
          <w:rPr>
            <w:rStyle w:val="Hyperlink"/>
            <w:lang w:val="en-US"/>
          </w:rPr>
          <w:t>.</w:t>
        </w:r>
        <w:r w:rsidR="008D4F0C" w:rsidRPr="00D45C8D">
          <w:rPr>
            <w:rStyle w:val="Hyperlink"/>
            <w:lang w:val="en-US"/>
          </w:rPr>
          <w:t>com</w:t>
        </w:r>
        <w:r w:rsidR="008D4F0C" w:rsidRPr="00957BE0">
          <w:rPr>
            <w:rStyle w:val="Hyperlink"/>
            <w:lang w:val="en-US"/>
          </w:rPr>
          <w:t>/</w:t>
        </w:r>
        <w:r w:rsidR="008D4F0C" w:rsidRPr="00D45C8D">
          <w:rPr>
            <w:rStyle w:val="Hyperlink"/>
            <w:lang w:val="en-US"/>
          </w:rPr>
          <w:t>monsanto</w:t>
        </w:r>
        <w:r w:rsidR="008D4F0C" w:rsidRPr="00957BE0">
          <w:rPr>
            <w:rStyle w:val="Hyperlink"/>
            <w:lang w:val="en-US"/>
          </w:rPr>
          <w:t>/</w:t>
        </w:r>
        <w:r w:rsidR="008D4F0C" w:rsidRPr="00D45C8D">
          <w:rPr>
            <w:rStyle w:val="Hyperlink"/>
            <w:lang w:val="en-US"/>
          </w:rPr>
          <w:t>layout</w:t>
        </w:r>
        <w:r w:rsidR="008D4F0C" w:rsidRPr="00957BE0">
          <w:rPr>
            <w:rStyle w:val="Hyperlink"/>
            <w:lang w:val="en-US"/>
          </w:rPr>
          <w:t>/</w:t>
        </w:r>
        <w:r w:rsidR="008D4F0C" w:rsidRPr="00D45C8D">
          <w:rPr>
            <w:rStyle w:val="Hyperlink"/>
            <w:lang w:val="en-US"/>
          </w:rPr>
          <w:t>our</w:t>
        </w:r>
        <w:r w:rsidR="008D4F0C" w:rsidRPr="00957BE0">
          <w:rPr>
            <w:rStyle w:val="Hyperlink"/>
            <w:lang w:val="en-US"/>
          </w:rPr>
          <w:t>_</w:t>
        </w:r>
        <w:r w:rsidR="008D4F0C" w:rsidRPr="00D45C8D">
          <w:rPr>
            <w:rStyle w:val="Hyperlink"/>
            <w:lang w:val="en-US"/>
          </w:rPr>
          <w:t>pledge</w:t>
        </w:r>
        <w:r w:rsidR="008D4F0C" w:rsidRPr="00957BE0">
          <w:rPr>
            <w:rStyle w:val="Hyperlink"/>
            <w:lang w:val="en-US"/>
          </w:rPr>
          <w:t>/</w:t>
        </w:r>
        <w:r w:rsidR="008D4F0C" w:rsidRPr="00D45C8D">
          <w:rPr>
            <w:rStyle w:val="Hyperlink"/>
            <w:lang w:val="en-US"/>
          </w:rPr>
          <w:t>monsanto</w:t>
        </w:r>
        <w:r w:rsidR="008D4F0C" w:rsidRPr="00957BE0">
          <w:rPr>
            <w:rStyle w:val="Hyperlink"/>
            <w:lang w:val="en-US"/>
          </w:rPr>
          <w:t>_</w:t>
        </w:r>
        <w:r w:rsidR="008D4F0C" w:rsidRPr="00D45C8D">
          <w:rPr>
            <w:rStyle w:val="Hyperlink"/>
            <w:lang w:val="en-US"/>
          </w:rPr>
          <w:t>pledge</w:t>
        </w:r>
        <w:r w:rsidR="008D4F0C" w:rsidRPr="00957BE0">
          <w:rPr>
            <w:rStyle w:val="Hyperlink"/>
            <w:lang w:val="en-US"/>
          </w:rPr>
          <w:t>.</w:t>
        </w:r>
        <w:r w:rsidR="008D4F0C" w:rsidRPr="00D45C8D">
          <w:rPr>
            <w:rStyle w:val="Hyperlink"/>
            <w:lang w:val="en-US"/>
          </w:rPr>
          <w:t>asp</w:t>
        </w:r>
      </w:hyperlink>
      <w:r w:rsidR="008D4F0C" w:rsidRPr="00957BE0">
        <w:rPr>
          <w:lang w:val="en-US"/>
        </w:rPr>
        <w:t xml:space="preserve"> </w:t>
      </w:r>
    </w:p>
  </w:footnote>
  <w:footnote w:id="69">
    <w:p w:rsidR="008D4F0C" w:rsidRPr="00957BE0" w:rsidRDefault="008D4F0C" w:rsidP="008D4F0C">
      <w:pPr>
        <w:pStyle w:val="FootnoteText"/>
        <w:jc w:val="both"/>
      </w:pPr>
      <w:r>
        <w:rPr>
          <w:rStyle w:val="FootnoteReference"/>
        </w:rPr>
        <w:footnoteRef/>
      </w:r>
      <w:r w:rsidRPr="001F5623">
        <w:rPr>
          <w:lang w:val="en-US"/>
        </w:rPr>
        <w:t xml:space="preserve"> </w:t>
      </w:r>
      <w:r>
        <w:rPr>
          <w:i/>
          <w:lang w:val="en-US"/>
        </w:rPr>
        <w:t>Institute of Science, Technology, and Public Policy</w:t>
      </w:r>
      <w:r>
        <w:rPr>
          <w:lang w:val="en-US"/>
        </w:rPr>
        <w:t xml:space="preserve">, Genetic Engineering: A Cautionary Approach. </w:t>
      </w:r>
      <w:r>
        <w:t>Διαθέσιμο</w:t>
      </w:r>
      <w:r w:rsidRPr="00957BE0">
        <w:t xml:space="preserve"> </w:t>
      </w:r>
      <w:r>
        <w:t>στο</w:t>
      </w:r>
      <w:r w:rsidRPr="00957BE0">
        <w:t xml:space="preserve">: </w:t>
      </w:r>
      <w:hyperlink r:id="rId9" w:history="1">
        <w:r w:rsidRPr="00D45C8D">
          <w:rPr>
            <w:rStyle w:val="Hyperlink"/>
            <w:lang w:val="en-US"/>
          </w:rPr>
          <w:t>http</w:t>
        </w:r>
        <w:r w:rsidRPr="00957BE0">
          <w:rPr>
            <w:rStyle w:val="Hyperlink"/>
          </w:rPr>
          <w:t>://</w:t>
        </w:r>
        <w:r w:rsidRPr="00D45C8D">
          <w:rPr>
            <w:rStyle w:val="Hyperlink"/>
            <w:lang w:val="en-US"/>
          </w:rPr>
          <w:t>www</w:t>
        </w:r>
        <w:r w:rsidRPr="00957BE0">
          <w:rPr>
            <w:rStyle w:val="Hyperlink"/>
          </w:rPr>
          <w:t>.</w:t>
        </w:r>
        <w:r w:rsidRPr="00D45C8D">
          <w:rPr>
            <w:rStyle w:val="Hyperlink"/>
            <w:lang w:val="en-US"/>
          </w:rPr>
          <w:t>istpp</w:t>
        </w:r>
        <w:r w:rsidRPr="00957BE0">
          <w:rPr>
            <w:rStyle w:val="Hyperlink"/>
          </w:rPr>
          <w:t>.</w:t>
        </w:r>
        <w:r w:rsidRPr="00D45C8D">
          <w:rPr>
            <w:rStyle w:val="Hyperlink"/>
            <w:lang w:val="en-US"/>
          </w:rPr>
          <w:t>org</w:t>
        </w:r>
        <w:r w:rsidRPr="00957BE0">
          <w:rPr>
            <w:rStyle w:val="Hyperlink"/>
          </w:rPr>
          <w:t>/</w:t>
        </w:r>
        <w:r w:rsidRPr="00D45C8D">
          <w:rPr>
            <w:rStyle w:val="Hyperlink"/>
            <w:lang w:val="en-US"/>
          </w:rPr>
          <w:t>genetic</w:t>
        </w:r>
        <w:r w:rsidRPr="00957BE0">
          <w:rPr>
            <w:rStyle w:val="Hyperlink"/>
          </w:rPr>
          <w:t>_</w:t>
        </w:r>
        <w:r w:rsidRPr="00D45C8D">
          <w:rPr>
            <w:rStyle w:val="Hyperlink"/>
            <w:lang w:val="en-US"/>
          </w:rPr>
          <w:t>engineering</w:t>
        </w:r>
        <w:r w:rsidRPr="00957BE0">
          <w:rPr>
            <w:rStyle w:val="Hyperlink"/>
          </w:rPr>
          <w:t>.</w:t>
        </w:r>
        <w:r w:rsidRPr="00D45C8D">
          <w:rPr>
            <w:rStyle w:val="Hyperlink"/>
            <w:lang w:val="en-US"/>
          </w:rPr>
          <w:t>html</w:t>
        </w:r>
      </w:hyperlink>
      <w:r w:rsidRPr="00957BE0">
        <w:t xml:space="preserve"> </w:t>
      </w:r>
    </w:p>
  </w:footnote>
  <w:footnote w:id="70">
    <w:p w:rsidR="008D4F0C" w:rsidRPr="00957BE0" w:rsidRDefault="008D4F0C" w:rsidP="008D4F0C">
      <w:pPr>
        <w:pStyle w:val="FootnoteText"/>
      </w:pPr>
      <w:r>
        <w:rPr>
          <w:rStyle w:val="FootnoteReference"/>
        </w:rPr>
        <w:footnoteRef/>
      </w:r>
      <w:r w:rsidRPr="00957BE0">
        <w:t xml:space="preserve"> </w:t>
      </w:r>
      <w:r w:rsidRPr="001971B0">
        <w:rPr>
          <w:i/>
          <w:lang w:val="en-US"/>
        </w:rPr>
        <w:t>Ibid</w:t>
      </w:r>
      <w:r w:rsidRPr="00957BE0">
        <w:rPr>
          <w:i/>
        </w:rPr>
        <w:t xml:space="preserve">. </w:t>
      </w:r>
    </w:p>
  </w:footnote>
  <w:footnote w:id="71">
    <w:p w:rsidR="008D4F0C" w:rsidRPr="00F209BD" w:rsidRDefault="008D4F0C" w:rsidP="008D4F0C">
      <w:pPr>
        <w:pStyle w:val="FootnoteText"/>
        <w:jc w:val="both"/>
        <w:rPr>
          <w:lang w:val="en-US"/>
        </w:rPr>
      </w:pPr>
      <w:r>
        <w:rPr>
          <w:rStyle w:val="FootnoteReference"/>
        </w:rPr>
        <w:footnoteRef/>
      </w:r>
      <w:r w:rsidRPr="00C567AB">
        <w:rPr>
          <w:lang w:val="en-US"/>
        </w:rPr>
        <w:t xml:space="preserve"> </w:t>
      </w:r>
      <w:r>
        <w:rPr>
          <w:i/>
          <w:lang w:val="en-US"/>
        </w:rPr>
        <w:t>The Organic Center</w:t>
      </w:r>
      <w:r>
        <w:rPr>
          <w:lang w:val="en-US"/>
        </w:rPr>
        <w:t xml:space="preserve">, Impacts of Genetically Engineered Crops on Pesticide Use: The First Thirteen Years, November 2009, </w:t>
      </w:r>
      <w:r>
        <w:t>σ</w:t>
      </w:r>
      <w:r w:rsidRPr="00F209BD">
        <w:rPr>
          <w:lang w:val="en-US"/>
        </w:rPr>
        <w:t xml:space="preserve">. 3. </w:t>
      </w:r>
      <w:r>
        <w:t>Διαθέσιμο</w:t>
      </w:r>
      <w:r w:rsidRPr="00957BE0">
        <w:rPr>
          <w:lang w:val="en-US"/>
        </w:rPr>
        <w:t xml:space="preserve"> </w:t>
      </w:r>
      <w:r>
        <w:t>στο</w:t>
      </w:r>
      <w:r w:rsidRPr="00957BE0">
        <w:rPr>
          <w:lang w:val="en-US"/>
        </w:rPr>
        <w:t xml:space="preserve">: </w:t>
      </w:r>
      <w:hyperlink r:id="rId10" w:history="1">
        <w:r w:rsidRPr="00D45C8D">
          <w:rPr>
            <w:rStyle w:val="Hyperlink"/>
            <w:lang w:val="en-US"/>
          </w:rPr>
          <w:t>www.oranic-center.org</w:t>
        </w:r>
      </w:hyperlink>
      <w:r>
        <w:rPr>
          <w:lang w:val="en-US"/>
        </w:rPr>
        <w:t xml:space="preserve"> </w:t>
      </w:r>
    </w:p>
  </w:footnote>
  <w:footnote w:id="72">
    <w:p w:rsidR="008D4F0C" w:rsidRPr="00FF47A1" w:rsidRDefault="008D4F0C" w:rsidP="008D4F0C">
      <w:pPr>
        <w:pStyle w:val="FootnoteText"/>
        <w:jc w:val="both"/>
        <w:rPr>
          <w:lang w:val="en-US"/>
        </w:rPr>
      </w:pPr>
      <w:r>
        <w:rPr>
          <w:rStyle w:val="FootnoteReference"/>
        </w:rPr>
        <w:footnoteRef/>
      </w:r>
      <w:r w:rsidRPr="005C0340">
        <w:rPr>
          <w:lang w:val="en-US"/>
        </w:rPr>
        <w:t xml:space="preserve"> </w:t>
      </w:r>
      <w:r>
        <w:rPr>
          <w:i/>
          <w:lang w:val="en-US"/>
        </w:rPr>
        <w:t>M.J. Angelo</w:t>
      </w:r>
      <w:r>
        <w:rPr>
          <w:lang w:val="en-US"/>
        </w:rPr>
        <w:t xml:space="preserve">, “Regulating Evolution for Sale: An Evolutionary Biology Model for Regulating the </w:t>
      </w:r>
      <w:r w:rsidRPr="000F20F1">
        <w:rPr>
          <w:lang w:val="en-US"/>
        </w:rPr>
        <w:t xml:space="preserve">  </w:t>
      </w:r>
      <w:r>
        <w:rPr>
          <w:lang w:val="en-US"/>
        </w:rPr>
        <w:t xml:space="preserve"> Unnatural Selection of Genetically Modified Organisms”, </w:t>
      </w:r>
      <w:r>
        <w:t>ό</w:t>
      </w:r>
      <w:r w:rsidRPr="0049691E">
        <w:rPr>
          <w:lang w:val="en-US"/>
        </w:rPr>
        <w:t>.</w:t>
      </w:r>
      <w:r>
        <w:t>π</w:t>
      </w:r>
      <w:r w:rsidRPr="0049691E">
        <w:rPr>
          <w:lang w:val="en-US"/>
        </w:rPr>
        <w:t>.,</w:t>
      </w:r>
      <w:r>
        <w:rPr>
          <w:lang w:val="en-US"/>
        </w:rPr>
        <w:t xml:space="preserve"> </w:t>
      </w:r>
      <w:r>
        <w:t>σ</w:t>
      </w:r>
      <w:r>
        <w:rPr>
          <w:lang w:val="en-US"/>
        </w:rPr>
        <w:t>.</w:t>
      </w:r>
      <w:r w:rsidRPr="00490FFD">
        <w:rPr>
          <w:lang w:val="en-US"/>
        </w:rPr>
        <w:t xml:space="preserve"> 163.</w:t>
      </w:r>
      <w:r w:rsidRPr="00FF47A1">
        <w:rPr>
          <w:lang w:val="en-US"/>
        </w:rPr>
        <w:t xml:space="preserve"> </w:t>
      </w:r>
    </w:p>
  </w:footnote>
  <w:footnote w:id="73">
    <w:p w:rsidR="008D4F0C" w:rsidRPr="00EA6E60" w:rsidRDefault="008D4F0C" w:rsidP="008D4F0C">
      <w:pPr>
        <w:pStyle w:val="FootnoteText"/>
        <w:jc w:val="both"/>
        <w:rPr>
          <w:lang w:val="en-US"/>
        </w:rPr>
      </w:pPr>
      <w:r>
        <w:rPr>
          <w:rStyle w:val="FootnoteReference"/>
        </w:rPr>
        <w:footnoteRef/>
      </w:r>
      <w:r w:rsidRPr="00EA6E60">
        <w:rPr>
          <w:lang w:val="en-US"/>
        </w:rPr>
        <w:t xml:space="preserve"> </w:t>
      </w:r>
      <w:r>
        <w:rPr>
          <w:i/>
          <w:lang w:val="en-US"/>
        </w:rPr>
        <w:t>FAO</w:t>
      </w:r>
      <w:r>
        <w:rPr>
          <w:lang w:val="en-US"/>
        </w:rPr>
        <w:t xml:space="preserve">, Report of the Panel of Eminent Experts on Ethics in Food and Agriculture, third session 14-16 September 2005, Rome 2006, </w:t>
      </w:r>
      <w:r>
        <w:t>σ</w:t>
      </w:r>
      <w:r w:rsidRPr="00EA6E60">
        <w:rPr>
          <w:lang w:val="en-US"/>
        </w:rPr>
        <w:t>. 9.</w:t>
      </w:r>
    </w:p>
  </w:footnote>
  <w:footnote w:id="74">
    <w:p w:rsidR="008D4F0C" w:rsidRPr="00364B87" w:rsidRDefault="008D4F0C" w:rsidP="008D4F0C">
      <w:pPr>
        <w:pStyle w:val="FootnoteText"/>
      </w:pPr>
      <w:r>
        <w:rPr>
          <w:rStyle w:val="FootnoteReference"/>
        </w:rPr>
        <w:footnoteRef/>
      </w:r>
      <w:r>
        <w:t xml:space="preserve"> Έκθεση της Επιτροπής προς το Ευρωπαϊκό Κοινοβούλιο και του Συμβούλιο για τις κοινωνικοοικονομικές επιπτώσεις της καλλιέργειας ΓΤΟ με βάση τις παρατηρήσεις των κρατών μελών, που ζητήθηκαν βάσει των συμπερασμάτων του Συμβουλίου Περιβάλλοντος του Δεκεμβρίου 2008, </w:t>
      </w:r>
      <w:r>
        <w:rPr>
          <w:lang w:val="en-US"/>
        </w:rPr>
        <w:t>COM</w:t>
      </w:r>
      <w:r w:rsidRPr="00364B87">
        <w:t xml:space="preserve"> (2011)</w:t>
      </w:r>
      <w:r>
        <w:t xml:space="preserve"> τελικό.</w:t>
      </w:r>
    </w:p>
  </w:footnote>
  <w:footnote w:id="75">
    <w:p w:rsidR="008D4F0C" w:rsidRPr="00364B87" w:rsidRDefault="008D4F0C" w:rsidP="008D4F0C">
      <w:pPr>
        <w:pStyle w:val="FootnoteText"/>
      </w:pPr>
      <w:r>
        <w:rPr>
          <w:rStyle w:val="FootnoteReference"/>
        </w:rPr>
        <w:footnoteRef/>
      </w:r>
      <w:r>
        <w:t xml:space="preserve"> </w:t>
      </w:r>
      <w:r>
        <w:rPr>
          <w:lang w:val="en-US"/>
        </w:rPr>
        <w:t>Idid</w:t>
      </w:r>
      <w:r w:rsidRPr="0044014E">
        <w:t>.</w:t>
      </w:r>
      <w:r>
        <w:t>, σ. 9-10.</w:t>
      </w:r>
    </w:p>
  </w:footnote>
  <w:footnote w:id="76">
    <w:p w:rsidR="008D4F0C" w:rsidRDefault="008D4F0C" w:rsidP="008D4F0C">
      <w:pPr>
        <w:pStyle w:val="FootnoteText"/>
      </w:pPr>
      <w:r>
        <w:rPr>
          <w:rStyle w:val="FootnoteReference"/>
        </w:rPr>
        <w:footnoteRef/>
      </w:r>
      <w:r>
        <w:t xml:space="preserve"> </w:t>
      </w:r>
      <w:r>
        <w:rPr>
          <w:lang w:val="en-US"/>
        </w:rPr>
        <w:t>Idid</w:t>
      </w:r>
      <w:r w:rsidRPr="0044014E">
        <w:t>.</w:t>
      </w:r>
    </w:p>
  </w:footnote>
  <w:footnote w:id="77">
    <w:p w:rsidR="008D4F0C" w:rsidRPr="00957BE0" w:rsidRDefault="008D4F0C" w:rsidP="008D4F0C">
      <w:pPr>
        <w:pStyle w:val="FootnoteText"/>
        <w:jc w:val="both"/>
      </w:pPr>
      <w:r>
        <w:rPr>
          <w:rStyle w:val="FootnoteReference"/>
        </w:rPr>
        <w:footnoteRef/>
      </w:r>
      <w:r w:rsidRPr="00EB3908">
        <w:t xml:space="preserve"> </w:t>
      </w:r>
      <w:r>
        <w:t>Κανονισμός (ΕΚ) αριθ. 178/2002 του Ευρωπαϊκού Κοινοβουλίου και του Συμβουλίου της 28</w:t>
      </w:r>
      <w:r w:rsidRPr="00EB3908">
        <w:rPr>
          <w:vertAlign w:val="superscript"/>
        </w:rPr>
        <w:t>ης</w:t>
      </w:r>
      <w:r>
        <w:t xml:space="preserve"> Ιανουαρίου 2002 για τον καθορισμό των γενικών αρχών και απαιτήσεων της νομοθεσίας για τα τρόφιμα…………………. ΕΕ</w:t>
      </w:r>
      <w:r w:rsidRPr="00957BE0">
        <w:t xml:space="preserve"> </w:t>
      </w:r>
      <w:r>
        <w:rPr>
          <w:lang w:val="en-US"/>
        </w:rPr>
        <w:t>L</w:t>
      </w:r>
      <w:r w:rsidRPr="00957BE0">
        <w:t xml:space="preserve"> 31/1 </w:t>
      </w:r>
      <w:r>
        <w:t>της</w:t>
      </w:r>
      <w:r w:rsidRPr="00957BE0">
        <w:t xml:space="preserve"> 1.2.2002.</w:t>
      </w:r>
    </w:p>
  </w:footnote>
  <w:footnote w:id="78">
    <w:p w:rsidR="008D4F0C" w:rsidRPr="00874A56" w:rsidRDefault="008D4F0C" w:rsidP="008D4F0C">
      <w:pPr>
        <w:pStyle w:val="FootnoteText"/>
        <w:jc w:val="both"/>
      </w:pPr>
      <w:r>
        <w:rPr>
          <w:rStyle w:val="FootnoteReference"/>
        </w:rPr>
        <w:footnoteRef/>
      </w:r>
      <w:r>
        <w:t xml:space="preserve"> Υπόθεση </w:t>
      </w:r>
      <w:r>
        <w:rPr>
          <w:lang w:val="en-US"/>
        </w:rPr>
        <w:t>Pfizer</w:t>
      </w:r>
      <w:r w:rsidRPr="00874A56">
        <w:t xml:space="preserve"> </w:t>
      </w:r>
      <w:r>
        <w:rPr>
          <w:lang w:val="en-US"/>
        </w:rPr>
        <w:t>Animal</w:t>
      </w:r>
      <w:r w:rsidRPr="00874A56">
        <w:t xml:space="preserve"> </w:t>
      </w:r>
      <w:r>
        <w:t>κατά Συμβουλίου [2002] Συλλ ΙΙ 3305, παράγραφοι 196-198.</w:t>
      </w:r>
    </w:p>
  </w:footnote>
  <w:footnote w:id="79">
    <w:p w:rsidR="008D4F0C" w:rsidRPr="00874A56" w:rsidRDefault="008D4F0C" w:rsidP="008D4F0C">
      <w:pPr>
        <w:pStyle w:val="FootnoteText"/>
        <w:jc w:val="both"/>
      </w:pPr>
      <w:r>
        <w:rPr>
          <w:rStyle w:val="FootnoteReference"/>
        </w:rPr>
        <w:footnoteRef/>
      </w:r>
      <w:r w:rsidRPr="00874A56">
        <w:t xml:space="preserve"> </w:t>
      </w:r>
      <w:r>
        <w:rPr>
          <w:lang w:val="en-US"/>
        </w:rPr>
        <w:t>Ibid</w:t>
      </w:r>
      <w:r w:rsidRPr="00874A56">
        <w:t xml:space="preserve">., </w:t>
      </w:r>
      <w:r>
        <w:t>παράγραφος 199 (όπου επισημαίνεται ότι εάν η κρίση του αρμόδιου πολιτικού οργάνου είναι διαφορετική από τη γνώμη της αρμόδιας επιστημονικής επιτροπής τότε για να είναι νόμιμη «πρέπει να είναι επιστημονικού επιπέδου τουλάχιστον ισότιμου με αυτό της γνώμης του επιστημονικού οργάνου.»)</w:t>
      </w:r>
    </w:p>
  </w:footnote>
  <w:footnote w:id="80">
    <w:p w:rsidR="008D4F0C" w:rsidRPr="00AD5CA2" w:rsidRDefault="008D4F0C" w:rsidP="008D4F0C">
      <w:pPr>
        <w:pStyle w:val="FootnoteText"/>
        <w:jc w:val="both"/>
      </w:pPr>
      <w:r w:rsidRPr="00AD5CA2">
        <w:rPr>
          <w:rStyle w:val="FootnoteReference"/>
        </w:rPr>
        <w:footnoteRef/>
      </w:r>
      <w:r w:rsidRPr="00AD5CA2">
        <w:rPr>
          <w:lang w:val="en-GB"/>
        </w:rPr>
        <w:t xml:space="preserve"> </w:t>
      </w:r>
      <w:r w:rsidRPr="00AD5CA2">
        <w:t>Βλ</w:t>
      </w:r>
      <w:r w:rsidRPr="00AD5CA2">
        <w:rPr>
          <w:lang w:val="en-GB"/>
        </w:rPr>
        <w:t xml:space="preserve">., </w:t>
      </w:r>
      <w:r w:rsidRPr="00AD5CA2">
        <w:rPr>
          <w:i/>
          <w:lang w:val="en-GB"/>
        </w:rPr>
        <w:t>US</w:t>
      </w:r>
      <w:r w:rsidRPr="00AD5CA2">
        <w:rPr>
          <w:i/>
          <w:lang w:val="en-US"/>
        </w:rPr>
        <w:t xml:space="preserve"> National Research Council</w:t>
      </w:r>
      <w:r w:rsidRPr="00AD5CA2">
        <w:rPr>
          <w:lang w:val="en-US"/>
        </w:rPr>
        <w:t>, Risk Assessment in the Federal Government: Managing the Process, 1983</w:t>
      </w:r>
      <w:r w:rsidRPr="00AD5CA2">
        <w:rPr>
          <w:lang w:val="en-GB"/>
        </w:rPr>
        <w:t xml:space="preserve">, </w:t>
      </w:r>
      <w:r w:rsidRPr="00AD5CA2">
        <w:t>σ</w:t>
      </w:r>
      <w:r w:rsidRPr="00AD5CA2">
        <w:rPr>
          <w:lang w:val="en-GB"/>
        </w:rPr>
        <w:t xml:space="preserve">. 1. </w:t>
      </w:r>
      <w:r w:rsidRPr="00AD5CA2">
        <w:t>Πρόκειται</w:t>
      </w:r>
      <w:r w:rsidRPr="00957BE0">
        <w:t xml:space="preserve"> </w:t>
      </w:r>
      <w:r w:rsidRPr="00AD5CA2">
        <w:t>για</w:t>
      </w:r>
      <w:r w:rsidRPr="00957BE0">
        <w:t xml:space="preserve"> </w:t>
      </w:r>
      <w:r w:rsidRPr="00AD5CA2">
        <w:t xml:space="preserve">την έκθεση, γνωστή ως </w:t>
      </w:r>
      <w:r w:rsidRPr="00AD5CA2">
        <w:rPr>
          <w:lang w:val="en-GB"/>
        </w:rPr>
        <w:t>Red</w:t>
      </w:r>
      <w:r w:rsidRPr="00AD5CA2">
        <w:t xml:space="preserve"> </w:t>
      </w:r>
      <w:r w:rsidRPr="00AD5CA2">
        <w:rPr>
          <w:lang w:val="en-GB"/>
        </w:rPr>
        <w:t>Book</w:t>
      </w:r>
      <w:r w:rsidRPr="00AD5CA2">
        <w:t xml:space="preserve">,  η οποία επέδρασε καθοριστικά στην καθιέρωση της ανάλυσης των κινδύνων στο αμερικανικό δίκαιο. Βλ, ομοίως, </w:t>
      </w:r>
      <w:r w:rsidRPr="00AD5CA2">
        <w:rPr>
          <w:i/>
          <w:lang w:val="en-GB"/>
        </w:rPr>
        <w:t>S</w:t>
      </w:r>
      <w:r w:rsidRPr="00AD5CA2">
        <w:rPr>
          <w:i/>
        </w:rPr>
        <w:t xml:space="preserve">. </w:t>
      </w:r>
      <w:r w:rsidRPr="00AD5CA2">
        <w:rPr>
          <w:i/>
          <w:lang w:val="en-US"/>
        </w:rPr>
        <w:t>Breyer</w:t>
      </w:r>
      <w:r w:rsidRPr="00AD5CA2">
        <w:t xml:space="preserve">, </w:t>
      </w:r>
      <w:r w:rsidRPr="00AD5CA2">
        <w:rPr>
          <w:lang w:val="en-US"/>
        </w:rPr>
        <w:t>Breaking</w:t>
      </w:r>
      <w:r w:rsidRPr="00AD5CA2">
        <w:t xml:space="preserve"> </w:t>
      </w:r>
      <w:r w:rsidRPr="00AD5CA2">
        <w:rPr>
          <w:lang w:val="en-US"/>
        </w:rPr>
        <w:t>the</w:t>
      </w:r>
      <w:r w:rsidRPr="00AD5CA2">
        <w:t xml:space="preserve"> </w:t>
      </w:r>
      <w:r w:rsidRPr="00AD5CA2">
        <w:rPr>
          <w:lang w:val="en-US"/>
        </w:rPr>
        <w:t>Vicious</w:t>
      </w:r>
      <w:r w:rsidRPr="00AD5CA2">
        <w:t xml:space="preserve"> </w:t>
      </w:r>
      <w:r w:rsidRPr="00AD5CA2">
        <w:rPr>
          <w:lang w:val="en-US"/>
        </w:rPr>
        <w:t>Circle</w:t>
      </w:r>
      <w:r w:rsidRPr="003072C1">
        <w:t xml:space="preserve">: </w:t>
      </w:r>
      <w:r>
        <w:rPr>
          <w:lang w:val="en-US"/>
        </w:rPr>
        <w:t>Toward</w:t>
      </w:r>
      <w:r w:rsidRPr="003072C1">
        <w:t xml:space="preserve"> </w:t>
      </w:r>
      <w:r>
        <w:rPr>
          <w:lang w:val="en-US"/>
        </w:rPr>
        <w:t>Effective</w:t>
      </w:r>
      <w:r w:rsidRPr="003072C1">
        <w:t xml:space="preserve"> </w:t>
      </w:r>
      <w:r>
        <w:rPr>
          <w:lang w:val="en-US"/>
        </w:rPr>
        <w:t>Risk</w:t>
      </w:r>
      <w:r w:rsidRPr="003072C1">
        <w:t xml:space="preserve"> </w:t>
      </w:r>
      <w:r>
        <w:rPr>
          <w:lang w:val="en-US"/>
        </w:rPr>
        <w:t>Regulation</w:t>
      </w:r>
      <w:r w:rsidRPr="003072C1">
        <w:t xml:space="preserve">, </w:t>
      </w:r>
      <w:r>
        <w:rPr>
          <w:lang w:val="en-US"/>
        </w:rPr>
        <w:t>Cambridge</w:t>
      </w:r>
      <w:r w:rsidRPr="003072C1">
        <w:t xml:space="preserve"> </w:t>
      </w:r>
      <w:r>
        <w:rPr>
          <w:lang w:val="en-US"/>
        </w:rPr>
        <w:t>MA</w:t>
      </w:r>
      <w:r w:rsidRPr="003072C1">
        <w:t xml:space="preserve">, </w:t>
      </w:r>
      <w:r>
        <w:rPr>
          <w:lang w:val="en-US"/>
        </w:rPr>
        <w:t>Harvard</w:t>
      </w:r>
      <w:r w:rsidRPr="003072C1">
        <w:t xml:space="preserve"> </w:t>
      </w:r>
      <w:r>
        <w:rPr>
          <w:lang w:val="en-US"/>
        </w:rPr>
        <w:t>University</w:t>
      </w:r>
      <w:r w:rsidRPr="003072C1">
        <w:t xml:space="preserve"> </w:t>
      </w:r>
      <w:r>
        <w:rPr>
          <w:lang w:val="en-US"/>
        </w:rPr>
        <w:t>Press</w:t>
      </w:r>
      <w:r w:rsidRPr="003072C1">
        <w:t>, 1993</w:t>
      </w:r>
      <w:r w:rsidRPr="00EC117D">
        <w:t>,</w:t>
      </w:r>
      <w:r w:rsidRPr="00AD5CA2">
        <w:t xml:space="preserve"> σ. 9 (ο οποίος τονίζει ότι η ανάλυση του κινδύνου «έχει δύο βασικά μέρη, ένα τεχνικό μέρος, το επονομαζόμενο ‘εκτίμηση του κινδύνου’, το οποίο αποσκοπεί στη μέτρηση του κινδύνου από μια ουσία, και ένα πολιτικά προσανατολισμένο μέρος, το επονομαζόμενο ‘διαχείριση του κινδύνου’.») Για την ανάλυση των κινδύνων στην Ευρώπη, βλ., αντί άλλων, Ανακοίνωση της Επιτροπής για την αρχή της προφύλαξης COM (2000) 1 τελικό. Η ανάλυσή μας θα εστιαστεί στα δύο αυτά στάδια</w:t>
      </w:r>
    </w:p>
  </w:footnote>
  <w:footnote w:id="81">
    <w:p w:rsidR="008D4F0C" w:rsidRPr="000B1624" w:rsidRDefault="008D4F0C" w:rsidP="008D4F0C">
      <w:pPr>
        <w:pStyle w:val="FootnoteText"/>
      </w:pPr>
      <w:r>
        <w:rPr>
          <w:rStyle w:val="FootnoteReference"/>
        </w:rPr>
        <w:footnoteRef/>
      </w:r>
      <w:r w:rsidRPr="00957BE0">
        <w:t xml:space="preserve"> </w:t>
      </w:r>
      <w:r>
        <w:t>Οδηγία 2001/18/ΕΚ, άρθρα 4, 13 και 14.</w:t>
      </w:r>
    </w:p>
  </w:footnote>
  <w:footnote w:id="82">
    <w:p w:rsidR="008D4F0C" w:rsidRPr="00AD5CA2" w:rsidRDefault="008D4F0C" w:rsidP="008D4F0C">
      <w:pPr>
        <w:pStyle w:val="FootnoteText"/>
        <w:jc w:val="both"/>
      </w:pPr>
      <w:r w:rsidRPr="00AD5CA2">
        <w:rPr>
          <w:rStyle w:val="FootnoteReference"/>
        </w:rPr>
        <w:footnoteRef/>
      </w:r>
      <w:r w:rsidRPr="000B1624">
        <w:rPr>
          <w:lang w:val="en-US"/>
        </w:rPr>
        <w:t xml:space="preserve"> </w:t>
      </w:r>
      <w:r w:rsidRPr="00AD5CA2">
        <w:rPr>
          <w:i/>
          <w:lang w:val="en-GB"/>
        </w:rPr>
        <w:t>Red</w:t>
      </w:r>
      <w:r w:rsidRPr="000B1624">
        <w:rPr>
          <w:i/>
          <w:lang w:val="en-US"/>
        </w:rPr>
        <w:t xml:space="preserve"> </w:t>
      </w:r>
      <w:r w:rsidRPr="00AD5CA2">
        <w:rPr>
          <w:i/>
          <w:lang w:val="en-GB"/>
        </w:rPr>
        <w:t>Book</w:t>
      </w:r>
      <w:r w:rsidRPr="000B1624">
        <w:rPr>
          <w:lang w:val="en-US"/>
        </w:rPr>
        <w:t xml:space="preserve">, </w:t>
      </w:r>
      <w:r w:rsidRPr="00AD5CA2">
        <w:t>ό</w:t>
      </w:r>
      <w:r w:rsidRPr="000B1624">
        <w:rPr>
          <w:lang w:val="en-US"/>
        </w:rPr>
        <w:t>.</w:t>
      </w:r>
      <w:r w:rsidRPr="00AD5CA2">
        <w:t>π</w:t>
      </w:r>
      <w:r w:rsidRPr="000B1624">
        <w:rPr>
          <w:lang w:val="en-US"/>
        </w:rPr>
        <w:t xml:space="preserve">., </w:t>
      </w:r>
      <w:r w:rsidRPr="00AD5CA2">
        <w:t>σ</w:t>
      </w:r>
      <w:r w:rsidRPr="000B1624">
        <w:rPr>
          <w:lang w:val="en-US"/>
        </w:rPr>
        <w:t xml:space="preserve">. 18. </w:t>
      </w:r>
      <w:r w:rsidRPr="00AD5CA2">
        <w:t>Βλ</w:t>
      </w:r>
      <w:r w:rsidRPr="00957BE0">
        <w:rPr>
          <w:lang w:val="en-US"/>
        </w:rPr>
        <w:t xml:space="preserve">., </w:t>
      </w:r>
      <w:r w:rsidRPr="00AD5CA2">
        <w:t>επίσης</w:t>
      </w:r>
      <w:r w:rsidRPr="00957BE0">
        <w:rPr>
          <w:lang w:val="en-US"/>
        </w:rPr>
        <w:t xml:space="preserve">,  </w:t>
      </w:r>
      <w:r w:rsidRPr="00AD5CA2">
        <w:rPr>
          <w:i/>
          <w:lang w:val="en-GB"/>
        </w:rPr>
        <w:t>The</w:t>
      </w:r>
      <w:r w:rsidRPr="00957BE0">
        <w:rPr>
          <w:i/>
          <w:lang w:val="en-US"/>
        </w:rPr>
        <w:t xml:space="preserve"> </w:t>
      </w:r>
      <w:r w:rsidRPr="00AD5CA2">
        <w:rPr>
          <w:i/>
          <w:lang w:val="en-GB"/>
        </w:rPr>
        <w:t>Presidential</w:t>
      </w:r>
      <w:r w:rsidRPr="00957BE0">
        <w:rPr>
          <w:i/>
          <w:lang w:val="en-US"/>
        </w:rPr>
        <w:t>/</w:t>
      </w:r>
      <w:r w:rsidRPr="00AD5CA2">
        <w:rPr>
          <w:i/>
          <w:lang w:val="en-GB"/>
        </w:rPr>
        <w:t>Congressional</w:t>
      </w:r>
      <w:r w:rsidRPr="00957BE0">
        <w:rPr>
          <w:i/>
          <w:lang w:val="en-US"/>
        </w:rPr>
        <w:t xml:space="preserve"> </w:t>
      </w:r>
      <w:r w:rsidRPr="00AD5CA2">
        <w:rPr>
          <w:i/>
          <w:lang w:val="en-GB"/>
        </w:rPr>
        <w:t>Commission</w:t>
      </w:r>
      <w:r w:rsidRPr="00957BE0">
        <w:rPr>
          <w:i/>
          <w:lang w:val="en-US"/>
        </w:rPr>
        <w:t xml:space="preserve"> </w:t>
      </w:r>
      <w:r w:rsidRPr="00AD5CA2">
        <w:rPr>
          <w:i/>
          <w:lang w:val="en-US"/>
        </w:rPr>
        <w:t>on</w:t>
      </w:r>
      <w:r w:rsidRPr="00957BE0">
        <w:rPr>
          <w:i/>
          <w:lang w:val="en-US"/>
        </w:rPr>
        <w:t xml:space="preserve"> </w:t>
      </w:r>
      <w:r w:rsidRPr="00AD5CA2">
        <w:rPr>
          <w:i/>
          <w:lang w:val="en-US"/>
        </w:rPr>
        <w:t>Risk</w:t>
      </w:r>
      <w:r w:rsidRPr="00957BE0">
        <w:rPr>
          <w:i/>
          <w:lang w:val="en-US"/>
        </w:rPr>
        <w:t xml:space="preserve"> </w:t>
      </w:r>
      <w:r w:rsidRPr="00AD5CA2">
        <w:rPr>
          <w:i/>
          <w:lang w:val="en-US"/>
        </w:rPr>
        <w:t>Assessment</w:t>
      </w:r>
      <w:r w:rsidRPr="00957BE0">
        <w:rPr>
          <w:i/>
          <w:lang w:val="en-US"/>
        </w:rPr>
        <w:t xml:space="preserve"> </w:t>
      </w:r>
      <w:r w:rsidRPr="00AD5CA2">
        <w:rPr>
          <w:i/>
          <w:lang w:val="en-US"/>
        </w:rPr>
        <w:t>and</w:t>
      </w:r>
      <w:r w:rsidRPr="00957BE0">
        <w:rPr>
          <w:i/>
          <w:lang w:val="en-US"/>
        </w:rPr>
        <w:t xml:space="preserve"> </w:t>
      </w:r>
      <w:r w:rsidRPr="00AD5CA2">
        <w:rPr>
          <w:i/>
          <w:lang w:val="en-US"/>
        </w:rPr>
        <w:t>Risk</w:t>
      </w:r>
      <w:r w:rsidRPr="00957BE0">
        <w:rPr>
          <w:i/>
          <w:lang w:val="en-US"/>
        </w:rPr>
        <w:t xml:space="preserve"> </w:t>
      </w:r>
      <w:r w:rsidRPr="00AD5CA2">
        <w:rPr>
          <w:i/>
          <w:lang w:val="en-US"/>
        </w:rPr>
        <w:t>Management</w:t>
      </w:r>
      <w:r w:rsidRPr="00957BE0">
        <w:rPr>
          <w:lang w:val="en-US"/>
        </w:rPr>
        <w:t xml:space="preserve">, </w:t>
      </w:r>
      <w:r w:rsidRPr="00AD5CA2">
        <w:rPr>
          <w:lang w:val="en-US"/>
        </w:rPr>
        <w:t>Final</w:t>
      </w:r>
      <w:r w:rsidRPr="00957BE0">
        <w:rPr>
          <w:lang w:val="en-US"/>
        </w:rPr>
        <w:t xml:space="preserve"> </w:t>
      </w:r>
      <w:r w:rsidRPr="00AD5CA2">
        <w:rPr>
          <w:lang w:val="en-US"/>
        </w:rPr>
        <w:t>Report</w:t>
      </w:r>
      <w:r w:rsidRPr="00957BE0">
        <w:rPr>
          <w:lang w:val="en-US"/>
        </w:rPr>
        <w:t xml:space="preserve">: </w:t>
      </w:r>
      <w:r w:rsidRPr="00AD5CA2">
        <w:rPr>
          <w:lang w:val="en-US"/>
        </w:rPr>
        <w:t>Risk</w:t>
      </w:r>
      <w:r w:rsidRPr="00957BE0">
        <w:rPr>
          <w:lang w:val="en-US"/>
        </w:rPr>
        <w:t xml:space="preserve"> </w:t>
      </w:r>
      <w:r w:rsidRPr="00AD5CA2">
        <w:rPr>
          <w:lang w:val="en-US"/>
        </w:rPr>
        <w:t>Assessment</w:t>
      </w:r>
      <w:r w:rsidRPr="00957BE0">
        <w:rPr>
          <w:lang w:val="en-US"/>
        </w:rPr>
        <w:t xml:space="preserve"> </w:t>
      </w:r>
      <w:r w:rsidRPr="00AD5CA2">
        <w:rPr>
          <w:lang w:val="en-US"/>
        </w:rPr>
        <w:t>and</w:t>
      </w:r>
      <w:r w:rsidRPr="00957BE0">
        <w:rPr>
          <w:lang w:val="en-US"/>
        </w:rPr>
        <w:t xml:space="preserve"> </w:t>
      </w:r>
      <w:r w:rsidRPr="00AD5CA2">
        <w:rPr>
          <w:lang w:val="en-US"/>
        </w:rPr>
        <w:t>Risk</w:t>
      </w:r>
      <w:r w:rsidRPr="00957BE0">
        <w:rPr>
          <w:lang w:val="en-US"/>
        </w:rPr>
        <w:t xml:space="preserve"> </w:t>
      </w:r>
      <w:r w:rsidRPr="00AD5CA2">
        <w:rPr>
          <w:lang w:val="en-US"/>
        </w:rPr>
        <w:t>Management</w:t>
      </w:r>
      <w:r w:rsidRPr="00957BE0">
        <w:rPr>
          <w:lang w:val="en-US"/>
        </w:rPr>
        <w:t xml:space="preserve"> </w:t>
      </w:r>
      <w:r w:rsidRPr="00AD5CA2">
        <w:rPr>
          <w:lang w:val="en-US"/>
        </w:rPr>
        <w:t>in</w:t>
      </w:r>
      <w:r w:rsidRPr="00957BE0">
        <w:rPr>
          <w:lang w:val="en-US"/>
        </w:rPr>
        <w:t xml:space="preserve"> </w:t>
      </w:r>
      <w:r w:rsidRPr="00AD5CA2">
        <w:rPr>
          <w:lang w:val="en-US"/>
        </w:rPr>
        <w:t>Regulatory</w:t>
      </w:r>
      <w:r w:rsidRPr="00957BE0">
        <w:rPr>
          <w:lang w:val="en-US"/>
        </w:rPr>
        <w:t xml:space="preserve"> </w:t>
      </w:r>
      <w:r w:rsidRPr="00AD5CA2">
        <w:rPr>
          <w:lang w:val="en-US"/>
        </w:rPr>
        <w:t>Decision</w:t>
      </w:r>
      <w:r w:rsidRPr="00957BE0">
        <w:rPr>
          <w:lang w:val="en-US"/>
        </w:rPr>
        <w:t>-</w:t>
      </w:r>
      <w:r w:rsidRPr="00AD5CA2">
        <w:rPr>
          <w:lang w:val="en-US"/>
        </w:rPr>
        <w:t>Making</w:t>
      </w:r>
      <w:r w:rsidRPr="00957BE0">
        <w:rPr>
          <w:lang w:val="en-US"/>
        </w:rPr>
        <w:t xml:space="preserve">, 1997, </w:t>
      </w:r>
      <w:r w:rsidRPr="00AD5CA2">
        <w:t>σ</w:t>
      </w:r>
      <w:r w:rsidRPr="00957BE0">
        <w:rPr>
          <w:lang w:val="en-US"/>
        </w:rPr>
        <w:t>. 2 (</w:t>
      </w:r>
      <w:r w:rsidRPr="00AD5CA2">
        <w:t>όπου</w:t>
      </w:r>
      <w:r w:rsidRPr="00957BE0">
        <w:rPr>
          <w:lang w:val="en-US"/>
        </w:rPr>
        <w:t xml:space="preserve"> </w:t>
      </w:r>
      <w:r w:rsidRPr="00AD5CA2">
        <w:t>τονίζεται</w:t>
      </w:r>
      <w:r w:rsidRPr="00957BE0">
        <w:rPr>
          <w:lang w:val="en-US"/>
        </w:rPr>
        <w:t xml:space="preserve"> </w:t>
      </w:r>
      <w:r w:rsidRPr="00AD5CA2">
        <w:t>ότι</w:t>
      </w:r>
      <w:r w:rsidRPr="00957BE0">
        <w:rPr>
          <w:lang w:val="en-US"/>
        </w:rPr>
        <w:t xml:space="preserve"> ‘‘</w:t>
      </w:r>
      <w:r w:rsidRPr="00AD5CA2">
        <w:t>η</w:t>
      </w:r>
      <w:r w:rsidRPr="00957BE0">
        <w:rPr>
          <w:lang w:val="en-US"/>
        </w:rPr>
        <w:t xml:space="preserve"> </w:t>
      </w:r>
      <w:r w:rsidRPr="00AD5CA2">
        <w:t>εκτίμηση</w:t>
      </w:r>
      <w:r w:rsidRPr="00957BE0">
        <w:rPr>
          <w:lang w:val="en-US"/>
        </w:rPr>
        <w:t xml:space="preserve"> </w:t>
      </w:r>
      <w:r w:rsidRPr="00AD5CA2">
        <w:t>του</w:t>
      </w:r>
      <w:r w:rsidRPr="00957BE0">
        <w:rPr>
          <w:lang w:val="en-US"/>
        </w:rPr>
        <w:t xml:space="preserve"> </w:t>
      </w:r>
      <w:r w:rsidRPr="00AD5CA2">
        <w:t>κινδύνου</w:t>
      </w:r>
      <w:r w:rsidRPr="00957BE0">
        <w:rPr>
          <w:lang w:val="en-US"/>
        </w:rPr>
        <w:t xml:space="preserve"> </w:t>
      </w:r>
      <w:r w:rsidRPr="00AD5CA2">
        <w:t>είναι</w:t>
      </w:r>
      <w:r w:rsidRPr="00957BE0">
        <w:rPr>
          <w:lang w:val="en-US"/>
        </w:rPr>
        <w:t xml:space="preserve"> </w:t>
      </w:r>
      <w:r w:rsidRPr="00AD5CA2">
        <w:t>ο</w:t>
      </w:r>
      <w:r w:rsidRPr="00957BE0">
        <w:rPr>
          <w:lang w:val="en-US"/>
        </w:rPr>
        <w:t xml:space="preserve"> </w:t>
      </w:r>
      <w:r w:rsidRPr="00AD5CA2">
        <w:t>συστηματικός</w:t>
      </w:r>
      <w:r w:rsidRPr="00957BE0">
        <w:rPr>
          <w:lang w:val="en-US"/>
        </w:rPr>
        <w:t xml:space="preserve">, </w:t>
      </w:r>
      <w:r w:rsidRPr="00AD5CA2">
        <w:t>επιστημονικός</w:t>
      </w:r>
      <w:r w:rsidRPr="00957BE0">
        <w:rPr>
          <w:lang w:val="en-US"/>
        </w:rPr>
        <w:t xml:space="preserve"> </w:t>
      </w:r>
      <w:r w:rsidRPr="00AD5CA2">
        <w:t>καθορισμός</w:t>
      </w:r>
      <w:r w:rsidRPr="00957BE0">
        <w:rPr>
          <w:lang w:val="en-US"/>
        </w:rPr>
        <w:t xml:space="preserve"> </w:t>
      </w:r>
      <w:r w:rsidRPr="00AD5CA2">
        <w:t>των</w:t>
      </w:r>
      <w:r w:rsidRPr="00957BE0">
        <w:rPr>
          <w:lang w:val="en-US"/>
        </w:rPr>
        <w:t xml:space="preserve"> </w:t>
      </w:r>
      <w:r w:rsidRPr="00AD5CA2">
        <w:t>δυνάμει</w:t>
      </w:r>
      <w:r w:rsidRPr="00957BE0">
        <w:rPr>
          <w:lang w:val="en-US"/>
        </w:rPr>
        <w:t xml:space="preserve"> </w:t>
      </w:r>
      <w:r w:rsidRPr="00AD5CA2">
        <w:t>αρνητικών</w:t>
      </w:r>
      <w:r w:rsidRPr="00957BE0">
        <w:rPr>
          <w:lang w:val="en-US"/>
        </w:rPr>
        <w:t xml:space="preserve"> </w:t>
      </w:r>
      <w:r w:rsidRPr="00AD5CA2">
        <w:t>επιπτώσεων</w:t>
      </w:r>
      <w:r w:rsidRPr="00957BE0">
        <w:rPr>
          <w:lang w:val="en-US"/>
        </w:rPr>
        <w:t xml:space="preserve"> </w:t>
      </w:r>
      <w:r w:rsidRPr="00AD5CA2">
        <w:t>από</w:t>
      </w:r>
      <w:r w:rsidRPr="00957BE0">
        <w:rPr>
          <w:lang w:val="en-US"/>
        </w:rPr>
        <w:t xml:space="preserve"> </w:t>
      </w:r>
      <w:r w:rsidRPr="00AD5CA2">
        <w:t>την</w:t>
      </w:r>
      <w:r w:rsidRPr="00957BE0">
        <w:rPr>
          <w:lang w:val="en-US"/>
        </w:rPr>
        <w:t xml:space="preserve"> </w:t>
      </w:r>
      <w:r w:rsidRPr="00AD5CA2">
        <w:t>έκθεση</w:t>
      </w:r>
      <w:r w:rsidRPr="00957BE0">
        <w:rPr>
          <w:lang w:val="en-US"/>
        </w:rPr>
        <w:t xml:space="preserve"> </w:t>
      </w:r>
      <w:r w:rsidRPr="00AD5CA2">
        <w:t>του</w:t>
      </w:r>
      <w:r w:rsidRPr="00957BE0">
        <w:rPr>
          <w:lang w:val="en-US"/>
        </w:rPr>
        <w:t xml:space="preserve"> </w:t>
      </w:r>
      <w:r w:rsidRPr="00AD5CA2">
        <w:t>ανθρώπου</w:t>
      </w:r>
      <w:r w:rsidRPr="00957BE0">
        <w:rPr>
          <w:lang w:val="en-US"/>
        </w:rPr>
        <w:t xml:space="preserve"> </w:t>
      </w:r>
      <w:r w:rsidRPr="00AD5CA2">
        <w:t>ή</w:t>
      </w:r>
      <w:r w:rsidRPr="00957BE0">
        <w:rPr>
          <w:lang w:val="en-US"/>
        </w:rPr>
        <w:t xml:space="preserve"> </w:t>
      </w:r>
      <w:r w:rsidRPr="00AD5CA2">
        <w:t>του</w:t>
      </w:r>
      <w:r w:rsidRPr="00957BE0">
        <w:rPr>
          <w:lang w:val="en-US"/>
        </w:rPr>
        <w:t xml:space="preserve"> </w:t>
      </w:r>
      <w:r w:rsidRPr="00AD5CA2">
        <w:t>περιβάλλοντος</w:t>
      </w:r>
      <w:r w:rsidRPr="00957BE0">
        <w:rPr>
          <w:lang w:val="en-US"/>
        </w:rPr>
        <w:t xml:space="preserve"> </w:t>
      </w:r>
      <w:r w:rsidRPr="00AD5CA2">
        <w:t>σε</w:t>
      </w:r>
      <w:r w:rsidRPr="00957BE0">
        <w:rPr>
          <w:lang w:val="en-US"/>
        </w:rPr>
        <w:t xml:space="preserve"> </w:t>
      </w:r>
      <w:r w:rsidRPr="00AD5CA2">
        <w:t>επικίνδυνους</w:t>
      </w:r>
      <w:r w:rsidRPr="00957BE0">
        <w:rPr>
          <w:lang w:val="en-US"/>
        </w:rPr>
        <w:t xml:space="preserve"> </w:t>
      </w:r>
      <w:r w:rsidRPr="00AD5CA2">
        <w:t>παράγοντες</w:t>
      </w:r>
      <w:r w:rsidRPr="00957BE0">
        <w:rPr>
          <w:lang w:val="en-US"/>
        </w:rPr>
        <w:t xml:space="preserve"> </w:t>
      </w:r>
      <w:r w:rsidRPr="00AD5CA2">
        <w:t>ή</w:t>
      </w:r>
      <w:r w:rsidRPr="00957BE0">
        <w:rPr>
          <w:lang w:val="en-US"/>
        </w:rPr>
        <w:t xml:space="preserve"> </w:t>
      </w:r>
      <w:r w:rsidRPr="00AD5CA2">
        <w:t>δραστηριότητες</w:t>
      </w:r>
      <w:r w:rsidRPr="00957BE0">
        <w:rPr>
          <w:lang w:val="en-US"/>
        </w:rPr>
        <w:t xml:space="preserve">’’. </w:t>
      </w:r>
      <w:r w:rsidRPr="00AD5CA2">
        <w:t xml:space="preserve">Διαθέσιμο στο: </w:t>
      </w:r>
      <w:hyperlink r:id="rId11" w:history="1">
        <w:r w:rsidRPr="00AD5CA2">
          <w:rPr>
            <w:rStyle w:val="Hyperlink"/>
          </w:rPr>
          <w:t>http://www.epa.gov/ncea/pdfs/riskcom/riskcom2.pdf</w:t>
        </w:r>
      </w:hyperlink>
      <w:r w:rsidRPr="00AD5CA2">
        <w:t xml:space="preserve">. </w:t>
      </w:r>
    </w:p>
  </w:footnote>
  <w:footnote w:id="83">
    <w:p w:rsidR="008D4F0C" w:rsidRPr="000B1624" w:rsidRDefault="008D4F0C" w:rsidP="008D4F0C">
      <w:pPr>
        <w:pStyle w:val="FootnoteText"/>
      </w:pPr>
      <w:r>
        <w:rPr>
          <w:rStyle w:val="FootnoteReference"/>
        </w:rPr>
        <w:footnoteRef/>
      </w:r>
      <w:r w:rsidRPr="00957BE0">
        <w:t xml:space="preserve"> </w:t>
      </w:r>
      <w:r>
        <w:t>Οδηγία 2001/18/ΕΚ, άρθρα 15 και 18.</w:t>
      </w:r>
    </w:p>
  </w:footnote>
  <w:footnote w:id="84">
    <w:p w:rsidR="008D4F0C" w:rsidRPr="00957BE0" w:rsidRDefault="008D4F0C" w:rsidP="008D4F0C">
      <w:pPr>
        <w:pStyle w:val="FootnoteText"/>
      </w:pPr>
      <w:r w:rsidRPr="00AD5CA2">
        <w:rPr>
          <w:rStyle w:val="FootnoteReference"/>
        </w:rPr>
        <w:footnoteRef/>
      </w:r>
      <w:r w:rsidRPr="00957BE0">
        <w:t xml:space="preserve"> </w:t>
      </w:r>
      <w:r w:rsidRPr="00AD5CA2">
        <w:rPr>
          <w:i/>
          <w:lang w:val="en-GB"/>
        </w:rPr>
        <w:t>Red</w:t>
      </w:r>
      <w:r w:rsidRPr="00957BE0">
        <w:rPr>
          <w:i/>
        </w:rPr>
        <w:t xml:space="preserve"> </w:t>
      </w:r>
      <w:r w:rsidRPr="00AD5CA2">
        <w:rPr>
          <w:i/>
          <w:lang w:val="en-GB"/>
        </w:rPr>
        <w:t>Book</w:t>
      </w:r>
      <w:r w:rsidRPr="00957BE0">
        <w:t xml:space="preserve">, </w:t>
      </w:r>
      <w:r w:rsidRPr="00AD5CA2">
        <w:t>ό</w:t>
      </w:r>
      <w:r w:rsidRPr="00957BE0">
        <w:t>.</w:t>
      </w:r>
      <w:r w:rsidRPr="00AD5CA2">
        <w:t>π</w:t>
      </w:r>
      <w:r w:rsidRPr="00957BE0">
        <w:t xml:space="preserve">., </w:t>
      </w:r>
      <w:r w:rsidRPr="00AD5CA2">
        <w:t>σ</w:t>
      </w:r>
      <w:r w:rsidRPr="00957BE0">
        <w:t>. 18-19.</w:t>
      </w:r>
    </w:p>
  </w:footnote>
  <w:footnote w:id="85">
    <w:p w:rsidR="008D4F0C" w:rsidRPr="00AD5CA2" w:rsidRDefault="008D4F0C" w:rsidP="008D4F0C">
      <w:pPr>
        <w:pStyle w:val="FootnoteText"/>
        <w:jc w:val="both"/>
        <w:rPr>
          <w:lang w:val="en-GB"/>
        </w:rPr>
      </w:pPr>
      <w:r w:rsidRPr="00AD5CA2">
        <w:rPr>
          <w:rStyle w:val="FootnoteReference"/>
        </w:rPr>
        <w:footnoteRef/>
      </w:r>
      <w:r w:rsidRPr="00AD5CA2">
        <w:rPr>
          <w:lang w:val="en-GB"/>
        </w:rPr>
        <w:t xml:space="preserve"> </w:t>
      </w:r>
      <w:r w:rsidRPr="00AD5CA2">
        <w:rPr>
          <w:i/>
          <w:lang w:val="en-GB"/>
        </w:rPr>
        <w:t>US</w:t>
      </w:r>
      <w:r w:rsidRPr="00AD5CA2">
        <w:rPr>
          <w:i/>
          <w:lang w:val="en-US"/>
        </w:rPr>
        <w:t xml:space="preserve"> National Research Council</w:t>
      </w:r>
      <w:r w:rsidRPr="00AD5CA2">
        <w:rPr>
          <w:lang w:val="en-US"/>
        </w:rPr>
        <w:t>,</w:t>
      </w:r>
      <w:r w:rsidRPr="00AD5CA2">
        <w:rPr>
          <w:lang w:val="en-GB"/>
        </w:rPr>
        <w:t xml:space="preserve"> Understanding Risk, </w:t>
      </w:r>
      <w:r w:rsidRPr="00AD5CA2">
        <w:t>ό</w:t>
      </w:r>
      <w:r w:rsidRPr="00AD5CA2">
        <w:rPr>
          <w:lang w:val="en-GB"/>
        </w:rPr>
        <w:t>.</w:t>
      </w:r>
      <w:r w:rsidRPr="00AD5CA2">
        <w:t>π</w:t>
      </w:r>
      <w:r w:rsidRPr="00AD5CA2">
        <w:rPr>
          <w:lang w:val="en-GB"/>
        </w:rPr>
        <w:t xml:space="preserve">., </w:t>
      </w:r>
      <w:r w:rsidRPr="00AD5CA2">
        <w:t>σ</w:t>
      </w:r>
      <w:r w:rsidRPr="00AD5CA2">
        <w:rPr>
          <w:lang w:val="en-GB"/>
        </w:rPr>
        <w:t>. 26.</w:t>
      </w:r>
    </w:p>
  </w:footnote>
  <w:footnote w:id="86">
    <w:p w:rsidR="008D4F0C" w:rsidRPr="007F1E3F" w:rsidRDefault="008D4F0C" w:rsidP="008D4F0C">
      <w:pPr>
        <w:pStyle w:val="FootnoteText"/>
        <w:jc w:val="both"/>
      </w:pPr>
      <w:r w:rsidRPr="00AD5CA2">
        <w:rPr>
          <w:rStyle w:val="FootnoteReference"/>
        </w:rPr>
        <w:footnoteRef/>
      </w:r>
      <w:r w:rsidRPr="00AD5CA2">
        <w:rPr>
          <w:lang w:val="en-GB"/>
        </w:rPr>
        <w:t xml:space="preserve"> </w:t>
      </w:r>
      <w:r w:rsidRPr="00AD5CA2">
        <w:rPr>
          <w:i/>
          <w:lang w:val="en-GB"/>
        </w:rPr>
        <w:t>Red Book</w:t>
      </w:r>
      <w:r w:rsidRPr="00AD5CA2">
        <w:rPr>
          <w:lang w:val="en-GB"/>
        </w:rPr>
        <w:t xml:space="preserve">, </w:t>
      </w:r>
      <w:r w:rsidRPr="00AD5CA2">
        <w:t>ό</w:t>
      </w:r>
      <w:r w:rsidRPr="00AD5CA2">
        <w:rPr>
          <w:lang w:val="en-GB"/>
        </w:rPr>
        <w:t>.</w:t>
      </w:r>
      <w:r w:rsidRPr="00AD5CA2">
        <w:t>π</w:t>
      </w:r>
      <w:r w:rsidRPr="00AD5CA2">
        <w:rPr>
          <w:lang w:val="en-GB"/>
        </w:rPr>
        <w:t xml:space="preserve">., </w:t>
      </w:r>
      <w:r w:rsidRPr="00AD5CA2">
        <w:t>σ</w:t>
      </w:r>
      <w:r w:rsidRPr="00AD5CA2">
        <w:rPr>
          <w:lang w:val="en-GB"/>
        </w:rPr>
        <w:t xml:space="preserve">. 37. </w:t>
      </w:r>
      <w:r w:rsidRPr="00AD5CA2">
        <w:t xml:space="preserve">Βλ., επίσης, </w:t>
      </w:r>
      <w:r w:rsidRPr="00AD5CA2">
        <w:rPr>
          <w:i/>
          <w:lang w:val="en-GB"/>
        </w:rPr>
        <w:t>EPA</w:t>
      </w:r>
      <w:r w:rsidRPr="00AD5CA2">
        <w:t xml:space="preserve">, </w:t>
      </w:r>
      <w:r w:rsidRPr="00AD5CA2">
        <w:rPr>
          <w:lang w:val="en-GB"/>
        </w:rPr>
        <w:t>Science</w:t>
      </w:r>
      <w:r w:rsidRPr="00AD5CA2">
        <w:t xml:space="preserve"> </w:t>
      </w:r>
      <w:r w:rsidRPr="00AD5CA2">
        <w:rPr>
          <w:lang w:val="en-GB"/>
        </w:rPr>
        <w:t>Policy</w:t>
      </w:r>
      <w:r w:rsidRPr="00AD5CA2">
        <w:t xml:space="preserve"> </w:t>
      </w:r>
      <w:r w:rsidRPr="00AD5CA2">
        <w:rPr>
          <w:lang w:val="en-GB"/>
        </w:rPr>
        <w:t>Council</w:t>
      </w:r>
      <w:r w:rsidRPr="00AD5CA2">
        <w:t xml:space="preserve"> </w:t>
      </w:r>
      <w:r w:rsidRPr="00AD5CA2">
        <w:rPr>
          <w:lang w:val="en-GB"/>
        </w:rPr>
        <w:t>Handbook</w:t>
      </w:r>
      <w:r w:rsidRPr="00AD5CA2">
        <w:t xml:space="preserve">: </w:t>
      </w:r>
      <w:r w:rsidRPr="00AD5CA2">
        <w:rPr>
          <w:lang w:val="en-GB"/>
        </w:rPr>
        <w:t>Risk</w:t>
      </w:r>
      <w:r w:rsidRPr="00AD5CA2">
        <w:t xml:space="preserve"> </w:t>
      </w:r>
      <w:r w:rsidRPr="00AD5CA2">
        <w:rPr>
          <w:lang w:val="en-GB"/>
        </w:rPr>
        <w:t>Characterization</w:t>
      </w:r>
      <w:r w:rsidRPr="00AD5CA2">
        <w:t>, 2000, σ. 51 (όπου τονίζεται ότι ‘‘η επιστημονική εκτίμηση του κινδύνου προσφέρει τη στερεή επιστημονική βάση για τη λήψη της απόφασης’’.)</w:t>
      </w:r>
      <w:r>
        <w:t xml:space="preserve"> </w:t>
      </w:r>
      <w:r>
        <w:rPr>
          <w:i/>
          <w:lang w:val="en-US"/>
        </w:rPr>
        <w:t>M</w:t>
      </w:r>
      <w:r w:rsidRPr="007F1E3F">
        <w:rPr>
          <w:i/>
        </w:rPr>
        <w:t xml:space="preserve">. </w:t>
      </w:r>
      <w:r>
        <w:rPr>
          <w:i/>
          <w:lang w:val="en-US"/>
        </w:rPr>
        <w:t>B</w:t>
      </w:r>
      <w:r w:rsidRPr="007F1E3F">
        <w:rPr>
          <w:i/>
        </w:rPr>
        <w:t xml:space="preserve">. </w:t>
      </w:r>
      <w:r>
        <w:rPr>
          <w:i/>
          <w:lang w:val="en-US"/>
        </w:rPr>
        <w:t>Brown</w:t>
      </w:r>
      <w:r w:rsidRPr="007F1E3F">
        <w:t xml:space="preserve">, </w:t>
      </w:r>
      <w:r>
        <w:rPr>
          <w:lang w:val="en-US"/>
        </w:rPr>
        <w:t>Science</w:t>
      </w:r>
      <w:r w:rsidRPr="007F1E3F">
        <w:t xml:space="preserve"> </w:t>
      </w:r>
      <w:r>
        <w:rPr>
          <w:lang w:val="en-US"/>
        </w:rPr>
        <w:t>in</w:t>
      </w:r>
      <w:r w:rsidRPr="007F1E3F">
        <w:t xml:space="preserve"> </w:t>
      </w:r>
      <w:r>
        <w:rPr>
          <w:lang w:val="en-US"/>
        </w:rPr>
        <w:t>Democracy</w:t>
      </w:r>
      <w:r w:rsidRPr="007F1E3F">
        <w:t xml:space="preserve">: </w:t>
      </w:r>
      <w:r>
        <w:rPr>
          <w:lang w:val="en-US"/>
        </w:rPr>
        <w:t>Expertise</w:t>
      </w:r>
      <w:r w:rsidRPr="007F1E3F">
        <w:t xml:space="preserve">, </w:t>
      </w:r>
      <w:r>
        <w:rPr>
          <w:lang w:val="en-US"/>
        </w:rPr>
        <w:t>Institutions</w:t>
      </w:r>
      <w:r w:rsidRPr="007F1E3F">
        <w:t xml:space="preserve">, </w:t>
      </w:r>
      <w:r>
        <w:rPr>
          <w:lang w:val="en-US"/>
        </w:rPr>
        <w:t>and</w:t>
      </w:r>
      <w:r w:rsidRPr="007F1E3F">
        <w:t xml:space="preserve"> </w:t>
      </w:r>
      <w:r>
        <w:rPr>
          <w:lang w:val="en-US"/>
        </w:rPr>
        <w:t>Representation</w:t>
      </w:r>
      <w:r w:rsidRPr="007F1E3F">
        <w:t xml:space="preserve">, </w:t>
      </w:r>
      <w:r>
        <w:rPr>
          <w:lang w:val="en-US"/>
        </w:rPr>
        <w:t>Cambridge</w:t>
      </w:r>
      <w:r w:rsidRPr="00DF682A">
        <w:t xml:space="preserve"> </w:t>
      </w:r>
      <w:r>
        <w:rPr>
          <w:lang w:val="en-US"/>
        </w:rPr>
        <w:t>MA</w:t>
      </w:r>
      <w:r w:rsidRPr="00DF682A">
        <w:t xml:space="preserve">, </w:t>
      </w:r>
      <w:r>
        <w:rPr>
          <w:lang w:val="en-US"/>
        </w:rPr>
        <w:t>The</w:t>
      </w:r>
      <w:r w:rsidRPr="00DF682A">
        <w:t xml:space="preserve"> </w:t>
      </w:r>
      <w:r>
        <w:rPr>
          <w:lang w:val="en-US"/>
        </w:rPr>
        <w:t>MIT</w:t>
      </w:r>
      <w:r w:rsidRPr="00DF682A">
        <w:t xml:space="preserve"> </w:t>
      </w:r>
      <w:r>
        <w:rPr>
          <w:lang w:val="en-US"/>
        </w:rPr>
        <w:t>Press</w:t>
      </w:r>
      <w:r w:rsidRPr="00DF682A">
        <w:t xml:space="preserve">, </w:t>
      </w:r>
      <w:r w:rsidRPr="007F1E3F">
        <w:t xml:space="preserve">2009, </w:t>
      </w:r>
      <w:r>
        <w:t>σ</w:t>
      </w:r>
      <w:r w:rsidRPr="007F1E3F">
        <w:t>. 86 (</w:t>
      </w:r>
      <w:r>
        <w:t>ο</w:t>
      </w:r>
      <w:r w:rsidRPr="007F1E3F">
        <w:t xml:space="preserve"> </w:t>
      </w:r>
      <w:r>
        <w:t>οποίος</w:t>
      </w:r>
      <w:r w:rsidRPr="007F1E3F">
        <w:t xml:space="preserve"> </w:t>
      </w:r>
      <w:r>
        <w:t>τονίζει</w:t>
      </w:r>
      <w:r w:rsidRPr="007F1E3F">
        <w:t xml:space="preserve"> </w:t>
      </w:r>
      <w:r>
        <w:t>ότι</w:t>
      </w:r>
      <w:r w:rsidRPr="007F1E3F">
        <w:t xml:space="preserve"> </w:t>
      </w:r>
      <w:r>
        <w:t>στην</w:t>
      </w:r>
      <w:r w:rsidRPr="007F1E3F">
        <w:t xml:space="preserve"> </w:t>
      </w:r>
      <w:r>
        <w:t>εν</w:t>
      </w:r>
      <w:r w:rsidRPr="007F1E3F">
        <w:t xml:space="preserve"> </w:t>
      </w:r>
      <w:r>
        <w:t>λόγω</w:t>
      </w:r>
      <w:r w:rsidRPr="007F1E3F">
        <w:t xml:space="preserve"> </w:t>
      </w:r>
      <w:r>
        <w:t>προσέγγιση</w:t>
      </w:r>
      <w:r w:rsidRPr="007F1E3F">
        <w:t xml:space="preserve"> </w:t>
      </w:r>
      <w:r>
        <w:t>οι</w:t>
      </w:r>
      <w:r w:rsidRPr="007F1E3F">
        <w:t xml:space="preserve"> </w:t>
      </w:r>
      <w:r>
        <w:t>ειδικοί</w:t>
      </w:r>
      <w:r w:rsidRPr="007F1E3F">
        <w:t xml:space="preserve"> </w:t>
      </w:r>
      <w:r>
        <w:t>προσδιορίζουν τα μέσα της πολιτικής που θα ακολουθηθεί και οι πολίτες –μέσω των αρμοδίων οργάνων- τους στόχους.)</w:t>
      </w:r>
      <w:r w:rsidRPr="007F1E3F">
        <w:t xml:space="preserve"> </w:t>
      </w:r>
    </w:p>
  </w:footnote>
  <w:footnote w:id="87">
    <w:p w:rsidR="008D4F0C" w:rsidRPr="00876186" w:rsidRDefault="008D4F0C" w:rsidP="008D4F0C">
      <w:pPr>
        <w:pStyle w:val="FootnoteText"/>
        <w:jc w:val="both"/>
      </w:pPr>
      <w:r w:rsidRPr="00AD5CA2">
        <w:rPr>
          <w:rStyle w:val="FootnoteReference"/>
        </w:rPr>
        <w:footnoteRef/>
      </w:r>
      <w:r w:rsidRPr="00AD5CA2">
        <w:rPr>
          <w:lang w:val="en-GB"/>
        </w:rPr>
        <w:t xml:space="preserve"> </w:t>
      </w:r>
      <w:r w:rsidRPr="00AD5CA2">
        <w:t>Βλ</w:t>
      </w:r>
      <w:r w:rsidRPr="00AD5CA2">
        <w:rPr>
          <w:lang w:val="en-GB"/>
        </w:rPr>
        <w:t xml:space="preserve">., </w:t>
      </w:r>
      <w:r w:rsidRPr="00AD5CA2">
        <w:t>αντί</w:t>
      </w:r>
      <w:r w:rsidRPr="00AD5CA2">
        <w:rPr>
          <w:lang w:val="en-GB"/>
        </w:rPr>
        <w:t xml:space="preserve"> </w:t>
      </w:r>
      <w:r w:rsidRPr="00AD5CA2">
        <w:t>πολλών</w:t>
      </w:r>
      <w:r w:rsidRPr="00AD5CA2">
        <w:rPr>
          <w:lang w:val="en-GB"/>
        </w:rPr>
        <w:t xml:space="preserve">, </w:t>
      </w:r>
      <w:r w:rsidRPr="00AD5CA2">
        <w:rPr>
          <w:i/>
          <w:lang w:val="en-US"/>
        </w:rPr>
        <w:t>E.K. Silbergeld</w:t>
      </w:r>
      <w:r w:rsidRPr="00AD5CA2">
        <w:rPr>
          <w:lang w:val="en-US"/>
        </w:rPr>
        <w:t xml:space="preserve">, “Risk Assessment and Risk Management: An uneasy Divorce”, in: </w:t>
      </w:r>
      <w:r w:rsidRPr="00AD5CA2">
        <w:rPr>
          <w:i/>
          <w:lang w:val="en-US"/>
        </w:rPr>
        <w:t>D. Mayo, R. Hollander</w:t>
      </w:r>
      <w:r w:rsidRPr="00AD5CA2">
        <w:rPr>
          <w:lang w:val="en-US"/>
        </w:rPr>
        <w:t xml:space="preserve"> (eds), Acceptable Evidence, </w:t>
      </w:r>
      <w:r w:rsidRPr="00AD5CA2">
        <w:t>ό</w:t>
      </w:r>
      <w:r w:rsidRPr="00AD5CA2">
        <w:rPr>
          <w:lang w:val="en-GB"/>
        </w:rPr>
        <w:t>.</w:t>
      </w:r>
      <w:r w:rsidRPr="00AD5CA2">
        <w:t>π</w:t>
      </w:r>
      <w:r w:rsidRPr="00AD5CA2">
        <w:rPr>
          <w:lang w:val="en-GB"/>
        </w:rPr>
        <w:t xml:space="preserve">., </w:t>
      </w:r>
      <w:r w:rsidRPr="00AD5CA2">
        <w:t>σ</w:t>
      </w:r>
      <w:r w:rsidRPr="00AD5CA2">
        <w:rPr>
          <w:lang w:val="en-GB"/>
        </w:rPr>
        <w:t xml:space="preserve">. 99. </w:t>
      </w:r>
      <w:r w:rsidRPr="00AD5CA2">
        <w:t>Βλ</w:t>
      </w:r>
      <w:r w:rsidRPr="00AD5CA2">
        <w:rPr>
          <w:lang w:val="en-GB"/>
        </w:rPr>
        <w:t xml:space="preserve">., </w:t>
      </w:r>
      <w:r w:rsidRPr="00AD5CA2">
        <w:t>επίσης</w:t>
      </w:r>
      <w:r w:rsidRPr="00AD5CA2">
        <w:rPr>
          <w:lang w:val="en-GB"/>
        </w:rPr>
        <w:t xml:space="preserve">,  </w:t>
      </w:r>
      <w:r w:rsidRPr="00AD5CA2">
        <w:rPr>
          <w:i/>
          <w:lang w:val="en-GB"/>
        </w:rPr>
        <w:t>US</w:t>
      </w:r>
      <w:r w:rsidRPr="00AD5CA2">
        <w:rPr>
          <w:i/>
          <w:lang w:val="en-US"/>
        </w:rPr>
        <w:t xml:space="preserve"> National Research Council</w:t>
      </w:r>
      <w:r w:rsidRPr="00AD5CA2">
        <w:rPr>
          <w:lang w:val="en-US"/>
        </w:rPr>
        <w:t>,</w:t>
      </w:r>
      <w:r w:rsidRPr="00AD5CA2">
        <w:rPr>
          <w:lang w:val="en-GB"/>
        </w:rPr>
        <w:t xml:space="preserve"> Understanding Risk, </w:t>
      </w:r>
      <w:r w:rsidRPr="00AD5CA2">
        <w:t>ό</w:t>
      </w:r>
      <w:r w:rsidRPr="00AD5CA2">
        <w:rPr>
          <w:lang w:val="en-GB"/>
        </w:rPr>
        <w:t>.</w:t>
      </w:r>
      <w:r w:rsidRPr="00AD5CA2">
        <w:t>π</w:t>
      </w:r>
      <w:r w:rsidRPr="00AD5CA2">
        <w:rPr>
          <w:lang w:val="en-GB"/>
        </w:rPr>
        <w:t xml:space="preserve">., </w:t>
      </w:r>
      <w:r w:rsidRPr="00AD5CA2">
        <w:t>σ</w:t>
      </w:r>
      <w:r w:rsidRPr="00AD5CA2">
        <w:rPr>
          <w:lang w:val="en-GB"/>
        </w:rPr>
        <w:t>. 34.</w:t>
      </w:r>
      <w:r w:rsidRPr="00B244A9">
        <w:rPr>
          <w:lang w:val="en-US"/>
        </w:rPr>
        <w:t xml:space="preserve"> </w:t>
      </w:r>
      <w:r w:rsidRPr="00F951F7">
        <w:rPr>
          <w:i/>
          <w:lang w:val="en-US"/>
        </w:rPr>
        <w:t>FAO</w:t>
      </w:r>
      <w:r w:rsidRPr="000404A0">
        <w:t xml:space="preserve">, </w:t>
      </w:r>
      <w:r>
        <w:rPr>
          <w:lang w:val="en-US"/>
        </w:rPr>
        <w:t>Expert</w:t>
      </w:r>
      <w:r w:rsidRPr="000404A0">
        <w:t xml:space="preserve"> </w:t>
      </w:r>
      <w:r>
        <w:rPr>
          <w:lang w:val="en-US"/>
        </w:rPr>
        <w:t>Consultation</w:t>
      </w:r>
      <w:r w:rsidRPr="000404A0">
        <w:t xml:space="preserve"> </w:t>
      </w:r>
      <w:r>
        <w:rPr>
          <w:lang w:val="en-US"/>
        </w:rPr>
        <w:t>on</w:t>
      </w:r>
      <w:r w:rsidRPr="000404A0">
        <w:t xml:space="preserve"> </w:t>
      </w:r>
      <w:r>
        <w:rPr>
          <w:lang w:val="en-US"/>
        </w:rPr>
        <w:t>Food</w:t>
      </w:r>
      <w:r w:rsidRPr="000404A0">
        <w:t xml:space="preserve"> </w:t>
      </w:r>
      <w:r>
        <w:rPr>
          <w:lang w:val="en-US"/>
        </w:rPr>
        <w:t>Safety</w:t>
      </w:r>
      <w:r w:rsidRPr="000404A0">
        <w:t xml:space="preserve">: </w:t>
      </w:r>
      <w:r>
        <w:rPr>
          <w:lang w:val="en-US"/>
        </w:rPr>
        <w:t>Science</w:t>
      </w:r>
      <w:r w:rsidRPr="000404A0">
        <w:t xml:space="preserve"> </w:t>
      </w:r>
      <w:r>
        <w:rPr>
          <w:lang w:val="en-US"/>
        </w:rPr>
        <w:t>and</w:t>
      </w:r>
      <w:r w:rsidRPr="000404A0">
        <w:t xml:space="preserve"> </w:t>
      </w:r>
      <w:r>
        <w:rPr>
          <w:lang w:val="en-US"/>
        </w:rPr>
        <w:t>Ethics</w:t>
      </w:r>
      <w:r w:rsidRPr="000404A0">
        <w:t xml:space="preserve">, 2002, </w:t>
      </w:r>
      <w:r>
        <w:t>σ</w:t>
      </w:r>
      <w:r w:rsidRPr="000404A0">
        <w:t xml:space="preserve">. </w:t>
      </w:r>
      <w:r>
        <w:rPr>
          <w:lang w:val="en-US"/>
        </w:rPr>
        <w:t>v</w:t>
      </w:r>
      <w:r>
        <w:t xml:space="preserve">, </w:t>
      </w:r>
      <w:r>
        <w:rPr>
          <w:lang w:val="en-US"/>
        </w:rPr>
        <w:t>vi</w:t>
      </w:r>
      <w:r w:rsidRPr="000404A0">
        <w:t xml:space="preserve">: </w:t>
      </w:r>
      <w:r>
        <w:t xml:space="preserve">«Η ανάλυση του κινδύνου συνίσταται σε μια διαδικασία που περιλαμβάνει τρεις φάσεις: την εκτίμηση του κινδύνου, τη διαχείριση του κινδύνου και την ενημέρωση για τον κίνδυνο. Και στις τρεις φάσεις λαμβάνουν χώρα αξιακές κρίσεις ………..Τέτοιες κρίσεις αφορούν τόσο στην ‘‘επιστημονική ανάλυση’’ όσο και ‘‘στους άλλους νόμιμους παράγοντες’’ για τους οποίους κάνουν λόγο οι Διακηρύξεις του </w:t>
      </w:r>
      <w:r>
        <w:rPr>
          <w:lang w:val="en-US"/>
        </w:rPr>
        <w:t>Codex</w:t>
      </w:r>
      <w:r w:rsidRPr="009F57BA">
        <w:t xml:space="preserve"> </w:t>
      </w:r>
      <w:r>
        <w:rPr>
          <w:lang w:val="en-US"/>
        </w:rPr>
        <w:t>Alimentarius</w:t>
      </w:r>
      <w:r>
        <w:t xml:space="preserve"> σχετικά με το ρόλο της επιστήμης……….. Αυτές οι κρίσεις περιλαμβάνουν ηθικές, νομικές, οικονομικές, κοινωνικές, πολιτιστικές, περιβαλλοντικές  και επιστημονικές αξίες που είναι αναγκαίες για τη διεξαγωγή της κατάλληλης ανάλυσης του κινδύνου.» </w:t>
      </w:r>
      <w:r w:rsidRPr="00876186">
        <w:t xml:space="preserve"> </w:t>
      </w:r>
      <w:r>
        <w:t xml:space="preserve">Διαθέσιμο στο: </w:t>
      </w:r>
      <w:r w:rsidRPr="000404A0">
        <w:t xml:space="preserve"> </w:t>
      </w:r>
      <w:hyperlink r:id="rId12" w:history="1">
        <w:r w:rsidRPr="00232CEE">
          <w:rPr>
            <w:rStyle w:val="Hyperlink"/>
            <w:lang w:val="en-US"/>
          </w:rPr>
          <w:t>ftp</w:t>
        </w:r>
        <w:r w:rsidRPr="00876186">
          <w:rPr>
            <w:rStyle w:val="Hyperlink"/>
          </w:rPr>
          <w:t>://</w:t>
        </w:r>
        <w:r w:rsidRPr="00232CEE">
          <w:rPr>
            <w:rStyle w:val="Hyperlink"/>
            <w:lang w:val="en-US"/>
          </w:rPr>
          <w:t>ftp</w:t>
        </w:r>
        <w:r w:rsidRPr="00876186">
          <w:rPr>
            <w:rStyle w:val="Hyperlink"/>
          </w:rPr>
          <w:t>.</w:t>
        </w:r>
        <w:r w:rsidRPr="00232CEE">
          <w:rPr>
            <w:rStyle w:val="Hyperlink"/>
            <w:lang w:val="en-US"/>
          </w:rPr>
          <w:t>fao</w:t>
        </w:r>
        <w:r w:rsidRPr="00876186">
          <w:rPr>
            <w:rStyle w:val="Hyperlink"/>
          </w:rPr>
          <w:t>.</w:t>
        </w:r>
        <w:r w:rsidRPr="00232CEE">
          <w:rPr>
            <w:rStyle w:val="Hyperlink"/>
            <w:lang w:val="en-US"/>
          </w:rPr>
          <w:t>org</w:t>
        </w:r>
        <w:r w:rsidRPr="00876186">
          <w:rPr>
            <w:rStyle w:val="Hyperlink"/>
          </w:rPr>
          <w:t>/</w:t>
        </w:r>
        <w:r w:rsidRPr="00232CEE">
          <w:rPr>
            <w:rStyle w:val="Hyperlink"/>
            <w:lang w:val="en-US"/>
          </w:rPr>
          <w:t>docrep</w:t>
        </w:r>
        <w:r w:rsidRPr="00876186">
          <w:rPr>
            <w:rStyle w:val="Hyperlink"/>
          </w:rPr>
          <w:t>/</w:t>
        </w:r>
        <w:r w:rsidRPr="00232CEE">
          <w:rPr>
            <w:rStyle w:val="Hyperlink"/>
            <w:lang w:val="en-US"/>
          </w:rPr>
          <w:t>fao</w:t>
        </w:r>
        <w:r w:rsidRPr="00876186">
          <w:rPr>
            <w:rStyle w:val="Hyperlink"/>
          </w:rPr>
          <w:t>/006</w:t>
        </w:r>
        <w:r w:rsidRPr="00232CEE">
          <w:rPr>
            <w:rStyle w:val="Hyperlink"/>
            <w:lang w:val="en-US"/>
          </w:rPr>
          <w:t>j</w:t>
        </w:r>
        <w:r w:rsidRPr="00876186">
          <w:rPr>
            <w:rStyle w:val="Hyperlink"/>
          </w:rPr>
          <w:t>0776</w:t>
        </w:r>
        <w:r w:rsidRPr="00232CEE">
          <w:rPr>
            <w:rStyle w:val="Hyperlink"/>
            <w:lang w:val="en-US"/>
          </w:rPr>
          <w:t>e</w:t>
        </w:r>
        <w:r w:rsidRPr="00876186">
          <w:rPr>
            <w:rStyle w:val="Hyperlink"/>
          </w:rPr>
          <w:t>/</w:t>
        </w:r>
        <w:r w:rsidRPr="00232CEE">
          <w:rPr>
            <w:rStyle w:val="Hyperlink"/>
            <w:lang w:val="en-US"/>
          </w:rPr>
          <w:t>j</w:t>
        </w:r>
        <w:r w:rsidRPr="00876186">
          <w:rPr>
            <w:rStyle w:val="Hyperlink"/>
          </w:rPr>
          <w:t>0776</w:t>
        </w:r>
        <w:r w:rsidRPr="00232CEE">
          <w:rPr>
            <w:rStyle w:val="Hyperlink"/>
            <w:lang w:val="en-US"/>
          </w:rPr>
          <w:t>e</w:t>
        </w:r>
        <w:r w:rsidRPr="00876186">
          <w:rPr>
            <w:rStyle w:val="Hyperlink"/>
          </w:rPr>
          <w:t>00.</w:t>
        </w:r>
        <w:r w:rsidRPr="00232CEE">
          <w:rPr>
            <w:rStyle w:val="Hyperlink"/>
            <w:lang w:val="en-US"/>
          </w:rPr>
          <w:t>pdf</w:t>
        </w:r>
      </w:hyperlink>
      <w:r w:rsidRPr="00876186">
        <w:t xml:space="preserve"> </w:t>
      </w:r>
    </w:p>
  </w:footnote>
  <w:footnote w:id="88">
    <w:p w:rsidR="008D4F0C" w:rsidRPr="006708B1" w:rsidRDefault="008D4F0C" w:rsidP="008D4F0C">
      <w:pPr>
        <w:pStyle w:val="FootnoteText"/>
        <w:jc w:val="both"/>
      </w:pPr>
      <w:r>
        <w:rPr>
          <w:rStyle w:val="FootnoteReference"/>
        </w:rPr>
        <w:footnoteRef/>
      </w:r>
      <w:r w:rsidRPr="006708B1">
        <w:t xml:space="preserve"> </w:t>
      </w:r>
      <w:r>
        <w:t>Βλ</w:t>
      </w:r>
      <w:r w:rsidRPr="006708B1">
        <w:t xml:space="preserve">., </w:t>
      </w:r>
      <w:r>
        <w:rPr>
          <w:i/>
          <w:lang w:val="en-US"/>
        </w:rPr>
        <w:t>Codex</w:t>
      </w:r>
      <w:r w:rsidRPr="006708B1">
        <w:rPr>
          <w:i/>
        </w:rPr>
        <w:t xml:space="preserve"> </w:t>
      </w:r>
      <w:r>
        <w:rPr>
          <w:i/>
          <w:lang w:val="en-US"/>
        </w:rPr>
        <w:t>Alimentarius</w:t>
      </w:r>
      <w:r w:rsidRPr="006708B1">
        <w:rPr>
          <w:i/>
        </w:rPr>
        <w:t xml:space="preserve"> </w:t>
      </w:r>
      <w:r>
        <w:rPr>
          <w:i/>
          <w:lang w:val="en-US"/>
        </w:rPr>
        <w:t>Commission</w:t>
      </w:r>
      <w:r w:rsidRPr="006708B1">
        <w:t xml:space="preserve">, </w:t>
      </w:r>
      <w:r>
        <w:rPr>
          <w:lang w:val="en-US"/>
        </w:rPr>
        <w:t>Procedural</w:t>
      </w:r>
      <w:r w:rsidRPr="006708B1">
        <w:t xml:space="preserve"> </w:t>
      </w:r>
      <w:r>
        <w:rPr>
          <w:lang w:val="en-US"/>
        </w:rPr>
        <w:t>Manual</w:t>
      </w:r>
      <w:r w:rsidRPr="006708B1">
        <w:t xml:space="preserve">, </w:t>
      </w:r>
      <w:r>
        <w:rPr>
          <w:lang w:val="en-US"/>
        </w:rPr>
        <w:t>nineteenth</w:t>
      </w:r>
      <w:r w:rsidRPr="006708B1">
        <w:t xml:space="preserve"> </w:t>
      </w:r>
      <w:r>
        <w:rPr>
          <w:lang w:val="en-US"/>
        </w:rPr>
        <w:t>edition</w:t>
      </w:r>
      <w:r w:rsidRPr="006708B1">
        <w:t xml:space="preserve">, </w:t>
      </w:r>
      <w:r>
        <w:rPr>
          <w:lang w:val="en-US"/>
        </w:rPr>
        <w:t>Rome</w:t>
      </w:r>
      <w:r w:rsidRPr="006708B1">
        <w:t xml:space="preserve">, 2010, </w:t>
      </w:r>
      <w:r>
        <w:t>σ</w:t>
      </w:r>
      <w:r w:rsidRPr="006708B1">
        <w:t>. 86: «</w:t>
      </w:r>
      <w:r w:rsidRPr="000E35B3">
        <w:rPr>
          <w:i/>
        </w:rPr>
        <w:t>Γίνεται αποδεκτό ότι η ανάλυση του κινδύνου είναι μια επαναληπτική διαδικασία στην οποία η αλληλοεπίδραση μεταξύ των διαχειριστών και των αξιολογητών των κινδύνων είναι ουσιαστική για την πρακτική εφαρμογή</w:t>
      </w:r>
      <w:r>
        <w:t xml:space="preserve">.» </w:t>
      </w:r>
      <w:r w:rsidRPr="006708B1">
        <w:t xml:space="preserve"> </w:t>
      </w:r>
    </w:p>
  </w:footnote>
  <w:footnote w:id="89">
    <w:p w:rsidR="008D4F0C" w:rsidRPr="00D127C4" w:rsidRDefault="008D4F0C" w:rsidP="008D4F0C">
      <w:pPr>
        <w:pStyle w:val="FootnoteText"/>
        <w:jc w:val="both"/>
        <w:rPr>
          <w:lang w:val="en-US"/>
        </w:rPr>
      </w:pPr>
      <w:r>
        <w:rPr>
          <w:rStyle w:val="FootnoteReference"/>
        </w:rPr>
        <w:footnoteRef/>
      </w:r>
      <w:r w:rsidRPr="00D127C4">
        <w:rPr>
          <w:lang w:val="en-US"/>
        </w:rPr>
        <w:t xml:space="preserve"> </w:t>
      </w:r>
      <w:r>
        <w:rPr>
          <w:i/>
          <w:lang w:val="en-US"/>
        </w:rPr>
        <w:t>G</w:t>
      </w:r>
      <w:r w:rsidRPr="00D127C4">
        <w:rPr>
          <w:i/>
          <w:lang w:val="en-US"/>
        </w:rPr>
        <w:t xml:space="preserve">. </w:t>
      </w:r>
      <w:r>
        <w:rPr>
          <w:i/>
          <w:lang w:val="en-US"/>
        </w:rPr>
        <w:t>Majone</w:t>
      </w:r>
      <w:r w:rsidRPr="00D127C4">
        <w:rPr>
          <w:lang w:val="en-US"/>
        </w:rPr>
        <w:t>, “</w:t>
      </w:r>
      <w:r>
        <w:rPr>
          <w:lang w:val="en-US"/>
        </w:rPr>
        <w:t>Foundations</w:t>
      </w:r>
      <w:r w:rsidRPr="00D127C4">
        <w:rPr>
          <w:lang w:val="en-US"/>
        </w:rPr>
        <w:t xml:space="preserve"> </w:t>
      </w:r>
      <w:r>
        <w:rPr>
          <w:lang w:val="en-US"/>
        </w:rPr>
        <w:t>of</w:t>
      </w:r>
      <w:r w:rsidRPr="00D127C4">
        <w:rPr>
          <w:lang w:val="en-US"/>
        </w:rPr>
        <w:t xml:space="preserve"> </w:t>
      </w:r>
      <w:r>
        <w:rPr>
          <w:lang w:val="en-US"/>
        </w:rPr>
        <w:t>Risk</w:t>
      </w:r>
      <w:r w:rsidRPr="00D127C4">
        <w:rPr>
          <w:lang w:val="en-US"/>
        </w:rPr>
        <w:t xml:space="preserve"> </w:t>
      </w:r>
      <w:r>
        <w:rPr>
          <w:lang w:val="en-US"/>
        </w:rPr>
        <w:t>Regulation</w:t>
      </w:r>
      <w:r w:rsidRPr="00D127C4">
        <w:rPr>
          <w:lang w:val="en-US"/>
        </w:rPr>
        <w:t xml:space="preserve">: </w:t>
      </w:r>
      <w:r>
        <w:rPr>
          <w:lang w:val="en-US"/>
        </w:rPr>
        <w:t>Science</w:t>
      </w:r>
      <w:r w:rsidRPr="00D127C4">
        <w:rPr>
          <w:lang w:val="en-US"/>
        </w:rPr>
        <w:t xml:space="preserve">, </w:t>
      </w:r>
      <w:r>
        <w:rPr>
          <w:lang w:val="en-US"/>
        </w:rPr>
        <w:t>Decision</w:t>
      </w:r>
      <w:r w:rsidRPr="00D127C4">
        <w:rPr>
          <w:lang w:val="en-US"/>
        </w:rPr>
        <w:t>-</w:t>
      </w:r>
      <w:r>
        <w:rPr>
          <w:lang w:val="en-US"/>
        </w:rPr>
        <w:t>Making</w:t>
      </w:r>
      <w:r w:rsidRPr="00D127C4">
        <w:rPr>
          <w:lang w:val="en-US"/>
        </w:rPr>
        <w:t xml:space="preserve">, </w:t>
      </w:r>
      <w:r>
        <w:rPr>
          <w:lang w:val="en-US"/>
        </w:rPr>
        <w:t>Policy</w:t>
      </w:r>
      <w:r w:rsidRPr="00D127C4">
        <w:rPr>
          <w:lang w:val="en-US"/>
        </w:rPr>
        <w:t xml:space="preserve"> </w:t>
      </w:r>
      <w:r>
        <w:rPr>
          <w:lang w:val="en-US"/>
        </w:rPr>
        <w:t>Learning</w:t>
      </w:r>
      <w:r w:rsidRPr="00D127C4">
        <w:rPr>
          <w:lang w:val="en-US"/>
        </w:rPr>
        <w:t xml:space="preserve"> </w:t>
      </w:r>
      <w:r>
        <w:rPr>
          <w:lang w:val="en-US"/>
        </w:rPr>
        <w:t>and</w:t>
      </w:r>
      <w:r w:rsidRPr="00D127C4">
        <w:rPr>
          <w:lang w:val="en-US"/>
        </w:rPr>
        <w:t xml:space="preserve"> </w:t>
      </w:r>
      <w:r>
        <w:rPr>
          <w:lang w:val="en-US"/>
        </w:rPr>
        <w:t>Institutional</w:t>
      </w:r>
      <w:r w:rsidRPr="00D127C4">
        <w:rPr>
          <w:lang w:val="en-US"/>
        </w:rPr>
        <w:t xml:space="preserve"> </w:t>
      </w:r>
      <w:r>
        <w:rPr>
          <w:lang w:val="en-US"/>
        </w:rPr>
        <w:t>Reform</w:t>
      </w:r>
      <w:r w:rsidRPr="00D127C4">
        <w:rPr>
          <w:lang w:val="en-US"/>
        </w:rPr>
        <w:t xml:space="preserve">”, </w:t>
      </w:r>
      <w:r>
        <w:rPr>
          <w:lang w:val="en-US"/>
        </w:rPr>
        <w:t>European</w:t>
      </w:r>
      <w:r w:rsidRPr="00D127C4">
        <w:rPr>
          <w:lang w:val="en-US"/>
        </w:rPr>
        <w:t xml:space="preserve"> </w:t>
      </w:r>
      <w:r>
        <w:rPr>
          <w:lang w:val="en-US"/>
        </w:rPr>
        <w:t>Journal</w:t>
      </w:r>
      <w:r w:rsidRPr="00D127C4">
        <w:rPr>
          <w:lang w:val="en-US"/>
        </w:rPr>
        <w:t xml:space="preserve"> </w:t>
      </w:r>
      <w:r>
        <w:rPr>
          <w:lang w:val="en-US"/>
        </w:rPr>
        <w:t>of</w:t>
      </w:r>
      <w:r w:rsidRPr="00D127C4">
        <w:rPr>
          <w:lang w:val="en-US"/>
        </w:rPr>
        <w:t xml:space="preserve"> </w:t>
      </w:r>
      <w:r>
        <w:rPr>
          <w:lang w:val="en-US"/>
        </w:rPr>
        <w:t>Risk</w:t>
      </w:r>
      <w:r w:rsidRPr="00D127C4">
        <w:rPr>
          <w:lang w:val="en-US"/>
        </w:rPr>
        <w:t xml:space="preserve"> </w:t>
      </w:r>
      <w:r>
        <w:rPr>
          <w:lang w:val="en-US"/>
        </w:rPr>
        <w:t>Regulation</w:t>
      </w:r>
      <w:r w:rsidRPr="00D127C4">
        <w:rPr>
          <w:lang w:val="en-US"/>
        </w:rPr>
        <w:t xml:space="preserve">, </w:t>
      </w:r>
      <w:r>
        <w:rPr>
          <w:lang w:val="en-US"/>
        </w:rPr>
        <w:t>Vol</w:t>
      </w:r>
      <w:r w:rsidRPr="00D127C4">
        <w:rPr>
          <w:lang w:val="en-US"/>
        </w:rPr>
        <w:t xml:space="preserve">. 1, 2010, </w:t>
      </w:r>
      <w:r>
        <w:t>σ</w:t>
      </w:r>
      <w:r w:rsidRPr="00D127C4">
        <w:rPr>
          <w:lang w:val="en-US"/>
        </w:rPr>
        <w:t xml:space="preserve">. 18. </w:t>
      </w:r>
    </w:p>
  </w:footnote>
  <w:footnote w:id="90">
    <w:p w:rsidR="008D4F0C" w:rsidRPr="0050464E" w:rsidRDefault="008D4F0C" w:rsidP="008D4F0C">
      <w:pPr>
        <w:pStyle w:val="FootnoteText"/>
        <w:jc w:val="both"/>
      </w:pPr>
      <w:r w:rsidRPr="00DE79E5">
        <w:rPr>
          <w:rStyle w:val="FootnoteReference"/>
        </w:rPr>
        <w:footnoteRef/>
      </w:r>
      <w:r w:rsidRPr="00A15F1A">
        <w:rPr>
          <w:lang w:val="en-US"/>
        </w:rPr>
        <w:t xml:space="preserve"> </w:t>
      </w:r>
      <w:r w:rsidRPr="00DE79E5">
        <w:t>Βλ</w:t>
      </w:r>
      <w:r w:rsidRPr="00A15F1A">
        <w:rPr>
          <w:lang w:val="en-US"/>
        </w:rPr>
        <w:t xml:space="preserve">., </w:t>
      </w:r>
      <w:r w:rsidRPr="00DE79E5">
        <w:t>αντίστοιχα</w:t>
      </w:r>
      <w:r w:rsidRPr="00A15F1A">
        <w:rPr>
          <w:lang w:val="en-US"/>
        </w:rPr>
        <w:t xml:space="preserve">., </w:t>
      </w:r>
      <w:r w:rsidRPr="00DE79E5">
        <w:rPr>
          <w:i/>
          <w:lang w:val="en-US"/>
        </w:rPr>
        <w:t>OECD</w:t>
      </w:r>
      <w:r w:rsidRPr="00A15F1A">
        <w:rPr>
          <w:i/>
          <w:lang w:val="en-US"/>
        </w:rPr>
        <w:t>/</w:t>
      </w:r>
      <w:r w:rsidRPr="00DE79E5">
        <w:rPr>
          <w:i/>
          <w:lang w:val="en-US"/>
        </w:rPr>
        <w:t>IPCS</w:t>
      </w:r>
      <w:r w:rsidRPr="00A15F1A">
        <w:rPr>
          <w:i/>
          <w:lang w:val="en-US"/>
        </w:rPr>
        <w:t>’</w:t>
      </w:r>
      <w:r w:rsidRPr="00DE79E5">
        <w:rPr>
          <w:i/>
          <w:lang w:val="en-US"/>
        </w:rPr>
        <w:t>s</w:t>
      </w:r>
      <w:r w:rsidRPr="00A15F1A">
        <w:rPr>
          <w:lang w:val="en-US"/>
        </w:rPr>
        <w:t xml:space="preserve"> </w:t>
      </w:r>
      <w:r w:rsidRPr="00DE79E5">
        <w:rPr>
          <w:lang w:val="en-US"/>
        </w:rPr>
        <w:t>database</w:t>
      </w:r>
      <w:r w:rsidRPr="00A15F1A">
        <w:rPr>
          <w:lang w:val="en-US"/>
        </w:rPr>
        <w:t xml:space="preserve"> </w:t>
      </w:r>
      <w:r w:rsidRPr="00DE79E5">
        <w:rPr>
          <w:lang w:val="en-US"/>
        </w:rPr>
        <w:t>on</w:t>
      </w:r>
      <w:r w:rsidRPr="00A15F1A">
        <w:rPr>
          <w:lang w:val="en-US"/>
        </w:rPr>
        <w:t xml:space="preserve"> </w:t>
      </w:r>
      <w:r w:rsidRPr="00DE79E5">
        <w:rPr>
          <w:lang w:val="en-US"/>
        </w:rPr>
        <w:t>chemical</w:t>
      </w:r>
      <w:r w:rsidRPr="00A15F1A">
        <w:rPr>
          <w:lang w:val="en-US"/>
        </w:rPr>
        <w:t xml:space="preserve"> </w:t>
      </w:r>
      <w:r w:rsidRPr="00DE79E5">
        <w:rPr>
          <w:lang w:val="en-US"/>
        </w:rPr>
        <w:t>risk</w:t>
      </w:r>
      <w:r w:rsidRPr="00A15F1A">
        <w:rPr>
          <w:lang w:val="en-US"/>
        </w:rPr>
        <w:t xml:space="preserve"> </w:t>
      </w:r>
      <w:r w:rsidRPr="00DE79E5">
        <w:rPr>
          <w:lang w:val="en-US"/>
        </w:rPr>
        <w:t>assessments</w:t>
      </w:r>
      <w:r w:rsidRPr="00A15F1A">
        <w:rPr>
          <w:lang w:val="en-US"/>
        </w:rPr>
        <w:t xml:space="preserve"> </w:t>
      </w:r>
      <w:r w:rsidRPr="00DE79E5">
        <w:rPr>
          <w:lang w:val="en-US"/>
        </w:rPr>
        <w:t>methodologies</w:t>
      </w:r>
      <w:r w:rsidRPr="00A15F1A">
        <w:rPr>
          <w:lang w:val="en-US"/>
        </w:rPr>
        <w:t xml:space="preserve">. </w:t>
      </w:r>
      <w:r w:rsidRPr="00DE79E5">
        <w:t>Διαθέσιμο</w:t>
      </w:r>
      <w:r w:rsidRPr="00AD50FA">
        <w:rPr>
          <w:lang w:val="en-US"/>
        </w:rPr>
        <w:t xml:space="preserve"> </w:t>
      </w:r>
      <w:r w:rsidRPr="00DE79E5">
        <w:t>στο</w:t>
      </w:r>
      <w:r w:rsidRPr="00AD50FA">
        <w:rPr>
          <w:lang w:val="en-US"/>
        </w:rPr>
        <w:t xml:space="preserve">: </w:t>
      </w:r>
      <w:hyperlink r:id="rId13" w:history="1">
        <w:r w:rsidRPr="00DE79E5">
          <w:rPr>
            <w:rStyle w:val="Hyperlink"/>
            <w:lang w:val="en-GB"/>
          </w:rPr>
          <w:t>http://webdomino1.oecd.org</w:t>
        </w:r>
        <w:r w:rsidRPr="00DE79E5">
          <w:rPr>
            <w:rStyle w:val="Hyperlink"/>
            <w:lang w:val="en-US"/>
          </w:rPr>
          <w:t>/ehs/ipcs.nsf</w:t>
        </w:r>
      </w:hyperlink>
      <w:r w:rsidRPr="00DE79E5">
        <w:rPr>
          <w:lang w:val="en-US"/>
        </w:rPr>
        <w:t xml:space="preserve"> .</w:t>
      </w:r>
      <w:r w:rsidRPr="00DE79E5">
        <w:rPr>
          <w:lang w:val="en-GB"/>
        </w:rPr>
        <w:t xml:space="preserve"> </w:t>
      </w:r>
      <w:r w:rsidRPr="00DE79E5">
        <w:rPr>
          <w:i/>
          <w:lang w:val="en-GB"/>
        </w:rPr>
        <w:t xml:space="preserve">Commission of the European </w:t>
      </w:r>
      <w:r>
        <w:rPr>
          <w:i/>
          <w:lang w:val="en-GB"/>
        </w:rPr>
        <w:t>Communities</w:t>
      </w:r>
      <w:r>
        <w:rPr>
          <w:lang w:val="en-US"/>
        </w:rPr>
        <w:t>, First Report on the Harmonis</w:t>
      </w:r>
      <w:r w:rsidRPr="00DE79E5">
        <w:rPr>
          <w:lang w:val="en-US"/>
        </w:rPr>
        <w:t>ation of Risk Assessment Procedures (Health and Consumer Protection Directorate-General 2000.)</w:t>
      </w:r>
      <w:r>
        <w:rPr>
          <w:lang w:val="en-US"/>
        </w:rPr>
        <w:t xml:space="preserve"> </w:t>
      </w:r>
      <w:r w:rsidRPr="00DE79E5">
        <w:rPr>
          <w:i/>
          <w:lang w:val="en-GB"/>
        </w:rPr>
        <w:t xml:space="preserve">Commission of the European </w:t>
      </w:r>
      <w:r>
        <w:rPr>
          <w:i/>
          <w:lang w:val="en-GB"/>
        </w:rPr>
        <w:t>Communities</w:t>
      </w:r>
      <w:r>
        <w:rPr>
          <w:lang w:val="en-GB"/>
        </w:rPr>
        <w:t xml:space="preserve">, Updated Opinion of the Scientific Steering Committee on Harmonisation of Risk Assessment Procedures </w:t>
      </w:r>
      <w:r w:rsidRPr="00DE79E5">
        <w:rPr>
          <w:lang w:val="en-US"/>
        </w:rPr>
        <w:t>(Health and Consumer Pro</w:t>
      </w:r>
      <w:r>
        <w:rPr>
          <w:lang w:val="en-US"/>
        </w:rPr>
        <w:t>tection Directorate-General 2003</w:t>
      </w:r>
      <w:r w:rsidRPr="00DE79E5">
        <w:rPr>
          <w:lang w:val="en-US"/>
        </w:rPr>
        <w:t>.)</w:t>
      </w:r>
      <w:r>
        <w:rPr>
          <w:lang w:val="en-US"/>
        </w:rPr>
        <w:t xml:space="preserve"> </w:t>
      </w:r>
      <w:r>
        <w:t xml:space="preserve">Να σημειωθεί ότι η αναμενόμενη ήδη από το 2003 Δεύτερη Έκθεση για την εναρμόνιση των διαδικασιών δεν έχει δημοσιευθεί ακόμη. </w:t>
      </w:r>
    </w:p>
  </w:footnote>
  <w:footnote w:id="91">
    <w:p w:rsidR="008D4F0C" w:rsidRPr="00325055" w:rsidRDefault="008D4F0C" w:rsidP="008D4F0C">
      <w:pPr>
        <w:pStyle w:val="FootnoteText"/>
        <w:rPr>
          <w:lang w:val="en-GB"/>
        </w:rPr>
      </w:pPr>
      <w:r w:rsidRPr="00325055">
        <w:rPr>
          <w:rStyle w:val="FootnoteReference"/>
        </w:rPr>
        <w:footnoteRef/>
      </w:r>
      <w:r w:rsidRPr="00325055">
        <w:rPr>
          <w:lang w:val="en-GB"/>
        </w:rPr>
        <w:t xml:space="preserve"> </w:t>
      </w:r>
      <w:r w:rsidRPr="00325055">
        <w:rPr>
          <w:i/>
          <w:lang w:val="en-GB"/>
        </w:rPr>
        <w:t xml:space="preserve">V. </w:t>
      </w:r>
      <w:r w:rsidRPr="00325055">
        <w:rPr>
          <w:i/>
          <w:lang w:val="en-US"/>
        </w:rPr>
        <w:t>Heyvaert</w:t>
      </w:r>
      <w:r w:rsidRPr="00325055">
        <w:rPr>
          <w:lang w:val="en-US"/>
        </w:rPr>
        <w:t>, “The Changing Role of Science in Environmental Regulatory Decision-Making in the European Union”,</w:t>
      </w:r>
      <w:r w:rsidRPr="00325055">
        <w:rPr>
          <w:lang w:val="en-GB"/>
        </w:rPr>
        <w:t xml:space="preserve"> </w:t>
      </w:r>
      <w:r w:rsidRPr="00325055">
        <w:t>ό</w:t>
      </w:r>
      <w:r w:rsidRPr="00325055">
        <w:rPr>
          <w:lang w:val="en-GB"/>
        </w:rPr>
        <w:t>.</w:t>
      </w:r>
      <w:r w:rsidRPr="00325055">
        <w:t>π</w:t>
      </w:r>
      <w:r w:rsidRPr="00325055">
        <w:rPr>
          <w:lang w:val="en-GB"/>
        </w:rPr>
        <w:t xml:space="preserve">., </w:t>
      </w:r>
      <w:r w:rsidRPr="00325055">
        <w:t>σ</w:t>
      </w:r>
      <w:r w:rsidRPr="00325055">
        <w:rPr>
          <w:lang w:val="en-GB"/>
        </w:rPr>
        <w:t>. 439-440.</w:t>
      </w:r>
    </w:p>
  </w:footnote>
  <w:footnote w:id="92">
    <w:p w:rsidR="008D4F0C" w:rsidRPr="00325055" w:rsidRDefault="008D4F0C" w:rsidP="008D4F0C">
      <w:pPr>
        <w:pStyle w:val="FootnoteText"/>
        <w:jc w:val="both"/>
      </w:pPr>
      <w:r w:rsidRPr="00325055">
        <w:rPr>
          <w:rStyle w:val="FootnoteReference"/>
        </w:rPr>
        <w:footnoteRef/>
      </w:r>
      <w:r w:rsidRPr="00325055">
        <w:rPr>
          <w:lang w:val="en-GB"/>
        </w:rPr>
        <w:t xml:space="preserve"> </w:t>
      </w:r>
      <w:r w:rsidRPr="00325055">
        <w:rPr>
          <w:i/>
          <w:lang w:val="en-GB"/>
        </w:rPr>
        <w:t>US</w:t>
      </w:r>
      <w:r w:rsidRPr="00325055">
        <w:rPr>
          <w:i/>
          <w:lang w:val="en-US"/>
        </w:rPr>
        <w:t xml:space="preserve"> National Research Council</w:t>
      </w:r>
      <w:r w:rsidRPr="00325055">
        <w:rPr>
          <w:lang w:val="en-US"/>
        </w:rPr>
        <w:t>, Risk Assessment in the Federal Government: Managing the Process, 1983</w:t>
      </w:r>
      <w:r w:rsidRPr="00325055">
        <w:rPr>
          <w:lang w:val="en-GB"/>
        </w:rPr>
        <w:t xml:space="preserve">, </w:t>
      </w:r>
      <w:r w:rsidRPr="00325055">
        <w:t>σ</w:t>
      </w:r>
      <w:r w:rsidRPr="00325055">
        <w:rPr>
          <w:lang w:val="en-GB"/>
        </w:rPr>
        <w:t>. 1</w:t>
      </w:r>
      <w:r w:rsidRPr="00144549">
        <w:rPr>
          <w:lang w:val="en-US"/>
        </w:rPr>
        <w:t>-3</w:t>
      </w:r>
      <w:r w:rsidRPr="00325055">
        <w:rPr>
          <w:lang w:val="en-GB"/>
        </w:rPr>
        <w:t xml:space="preserve">. </w:t>
      </w:r>
      <w:r w:rsidRPr="00325055">
        <w:t xml:space="preserve">Πρόκειται για την έκθεση, γνωστή ως </w:t>
      </w:r>
      <w:r w:rsidRPr="00325055">
        <w:rPr>
          <w:lang w:val="en-GB"/>
        </w:rPr>
        <w:t>Red</w:t>
      </w:r>
      <w:r w:rsidRPr="00325055">
        <w:t xml:space="preserve"> </w:t>
      </w:r>
      <w:r w:rsidRPr="00325055">
        <w:rPr>
          <w:lang w:val="en-GB"/>
        </w:rPr>
        <w:t>Book</w:t>
      </w:r>
      <w:r w:rsidRPr="00325055">
        <w:t>, η οποία επέδρασε καθοριστικά στην καθιέρωση της ανάλυσης των κινδύνων στο αμερικανικό δίκαιο</w:t>
      </w:r>
      <w:r>
        <w:t xml:space="preserve"> που μεταφέρθηκε ακολούθως στην Ευρώπη</w:t>
      </w:r>
      <w:r w:rsidRPr="00325055">
        <w:rPr>
          <w:i/>
        </w:rPr>
        <w:t>.</w:t>
      </w:r>
    </w:p>
  </w:footnote>
  <w:footnote w:id="93">
    <w:p w:rsidR="008D4F0C" w:rsidRPr="0050577B" w:rsidRDefault="008D4F0C" w:rsidP="008D4F0C">
      <w:pPr>
        <w:pStyle w:val="FootnoteText"/>
        <w:rPr>
          <w:lang w:val="en-US"/>
        </w:rPr>
      </w:pPr>
      <w:r>
        <w:rPr>
          <w:rStyle w:val="FootnoteReference"/>
        </w:rPr>
        <w:footnoteRef/>
      </w:r>
      <w:r w:rsidRPr="0050577B">
        <w:rPr>
          <w:lang w:val="en-US"/>
        </w:rPr>
        <w:t xml:space="preserve"> </w:t>
      </w:r>
      <w:r>
        <w:rPr>
          <w:i/>
          <w:lang w:val="en-US"/>
        </w:rPr>
        <w:t>D</w:t>
      </w:r>
      <w:r w:rsidRPr="006436A9">
        <w:rPr>
          <w:i/>
          <w:lang w:val="en-US"/>
        </w:rPr>
        <w:t>.</w:t>
      </w:r>
      <w:r>
        <w:rPr>
          <w:i/>
          <w:lang w:val="en-US"/>
        </w:rPr>
        <w:t>A</w:t>
      </w:r>
      <w:r w:rsidRPr="006436A9">
        <w:rPr>
          <w:i/>
          <w:lang w:val="en-US"/>
        </w:rPr>
        <w:t xml:space="preserve">. </w:t>
      </w:r>
      <w:r>
        <w:rPr>
          <w:i/>
          <w:lang w:val="en-US"/>
        </w:rPr>
        <w:t>Andow</w:t>
      </w:r>
      <w:r w:rsidRPr="006436A9">
        <w:rPr>
          <w:i/>
          <w:lang w:val="en-US"/>
        </w:rPr>
        <w:t xml:space="preserve">, </w:t>
      </w:r>
      <w:r>
        <w:rPr>
          <w:i/>
          <w:lang w:val="en-US"/>
        </w:rPr>
        <w:t>C</w:t>
      </w:r>
      <w:r w:rsidRPr="006436A9">
        <w:rPr>
          <w:i/>
          <w:lang w:val="en-US"/>
        </w:rPr>
        <w:t xml:space="preserve">. </w:t>
      </w:r>
      <w:r>
        <w:rPr>
          <w:i/>
          <w:lang w:val="en-US"/>
        </w:rPr>
        <w:t>Zwahlen</w:t>
      </w:r>
      <w:r w:rsidRPr="006436A9">
        <w:rPr>
          <w:lang w:val="en-US"/>
        </w:rPr>
        <w:t>, “</w:t>
      </w:r>
      <w:r>
        <w:rPr>
          <w:lang w:val="en-US"/>
        </w:rPr>
        <w:t>Assessing</w:t>
      </w:r>
      <w:r w:rsidRPr="006436A9">
        <w:rPr>
          <w:lang w:val="en-US"/>
        </w:rPr>
        <w:t xml:space="preserve"> </w:t>
      </w:r>
      <w:r>
        <w:rPr>
          <w:lang w:val="en-US"/>
        </w:rPr>
        <w:t>Environmental</w:t>
      </w:r>
      <w:r w:rsidRPr="006436A9">
        <w:rPr>
          <w:lang w:val="en-US"/>
        </w:rPr>
        <w:t xml:space="preserve"> </w:t>
      </w:r>
      <w:r>
        <w:rPr>
          <w:lang w:val="en-US"/>
        </w:rPr>
        <w:t>Risks</w:t>
      </w:r>
      <w:r w:rsidRPr="006436A9">
        <w:rPr>
          <w:lang w:val="en-US"/>
        </w:rPr>
        <w:t xml:space="preserve"> </w:t>
      </w:r>
      <w:r>
        <w:rPr>
          <w:lang w:val="en-US"/>
        </w:rPr>
        <w:t>of</w:t>
      </w:r>
      <w:r w:rsidRPr="006436A9">
        <w:rPr>
          <w:lang w:val="en-US"/>
        </w:rPr>
        <w:t xml:space="preserve"> </w:t>
      </w:r>
      <w:r>
        <w:rPr>
          <w:lang w:val="en-US"/>
        </w:rPr>
        <w:t>Transgenic</w:t>
      </w:r>
      <w:r w:rsidRPr="006436A9">
        <w:rPr>
          <w:lang w:val="en-US"/>
        </w:rPr>
        <w:t xml:space="preserve"> </w:t>
      </w:r>
      <w:r>
        <w:rPr>
          <w:lang w:val="en-US"/>
        </w:rPr>
        <w:t>Plants</w:t>
      </w:r>
      <w:r w:rsidRPr="006436A9">
        <w:rPr>
          <w:lang w:val="en-US"/>
        </w:rPr>
        <w:t xml:space="preserve">”, </w:t>
      </w:r>
      <w:r>
        <w:t>ό</w:t>
      </w:r>
      <w:r w:rsidRPr="006436A9">
        <w:rPr>
          <w:lang w:val="en-US"/>
        </w:rPr>
        <w:t>.</w:t>
      </w:r>
      <w:r>
        <w:t>π</w:t>
      </w:r>
      <w:r w:rsidRPr="006436A9">
        <w:rPr>
          <w:lang w:val="en-US"/>
        </w:rPr>
        <w:t xml:space="preserve">., </w:t>
      </w:r>
      <w:r>
        <w:t>σ</w:t>
      </w:r>
      <w:r w:rsidRPr="006436A9">
        <w:rPr>
          <w:lang w:val="en-US"/>
        </w:rPr>
        <w:t>. 197.</w:t>
      </w:r>
    </w:p>
  </w:footnote>
  <w:footnote w:id="94">
    <w:p w:rsidR="008D4F0C" w:rsidRPr="00957BE0" w:rsidRDefault="008D4F0C" w:rsidP="008D4F0C">
      <w:pPr>
        <w:pStyle w:val="FootnoteText"/>
      </w:pPr>
      <w:r>
        <w:rPr>
          <w:rStyle w:val="FootnoteReference"/>
        </w:rPr>
        <w:footnoteRef/>
      </w:r>
      <w:r w:rsidRPr="00655C65">
        <w:t xml:space="preserve"> </w:t>
      </w:r>
      <w:r>
        <w:t xml:space="preserve">Οδηγία 2001/18/ΕΚ, ό.π., Παράρτημα ΙΙ. Βλ., επίσης, Απόφαση της Επιτροπής αριθ. </w:t>
      </w:r>
      <w:r w:rsidRPr="00957BE0">
        <w:t>2002/623/</w:t>
      </w:r>
      <w:r>
        <w:t>ΕΚ</w:t>
      </w:r>
      <w:r w:rsidRPr="00957BE0">
        <w:t xml:space="preserve">, </w:t>
      </w:r>
      <w:r>
        <w:rPr>
          <w:lang w:val="en-US"/>
        </w:rPr>
        <w:t>L</w:t>
      </w:r>
      <w:r w:rsidRPr="00957BE0">
        <w:t xml:space="preserve"> 200/22 </w:t>
      </w:r>
      <w:r>
        <w:t>της</w:t>
      </w:r>
      <w:r w:rsidRPr="00957BE0">
        <w:t xml:space="preserve"> 30.7.2002, </w:t>
      </w:r>
      <w:r>
        <w:t>σημείο</w:t>
      </w:r>
      <w:r w:rsidRPr="00957BE0">
        <w:t xml:space="preserve"> 4.2.</w:t>
      </w:r>
    </w:p>
  </w:footnote>
  <w:footnote w:id="95">
    <w:p w:rsidR="008D4F0C" w:rsidRPr="00E24FC9" w:rsidRDefault="008D4F0C" w:rsidP="008D4F0C">
      <w:pPr>
        <w:pStyle w:val="FootnoteText"/>
        <w:jc w:val="both"/>
      </w:pPr>
      <w:r>
        <w:rPr>
          <w:rStyle w:val="FootnoteReference"/>
        </w:rPr>
        <w:footnoteRef/>
      </w:r>
      <w:r w:rsidRPr="00957BE0">
        <w:t xml:space="preserve"> </w:t>
      </w:r>
      <w:r>
        <w:rPr>
          <w:i/>
          <w:lang w:val="en-US"/>
        </w:rPr>
        <w:t>A</w:t>
      </w:r>
      <w:r w:rsidRPr="00957BE0">
        <w:rPr>
          <w:i/>
        </w:rPr>
        <w:t>.</w:t>
      </w:r>
      <w:r>
        <w:rPr>
          <w:i/>
          <w:lang w:val="en-US"/>
        </w:rPr>
        <w:t>I</w:t>
      </w:r>
      <w:r w:rsidRPr="00957BE0">
        <w:rPr>
          <w:i/>
        </w:rPr>
        <w:t xml:space="preserve">. </w:t>
      </w:r>
      <w:r>
        <w:rPr>
          <w:i/>
          <w:lang w:val="en-US"/>
        </w:rPr>
        <w:t>Myhr</w:t>
      </w:r>
      <w:r w:rsidRPr="00957BE0">
        <w:t>, “</w:t>
      </w:r>
      <w:r>
        <w:rPr>
          <w:lang w:val="en-US"/>
        </w:rPr>
        <w:t>Uncertainty</w:t>
      </w:r>
      <w:r w:rsidRPr="00957BE0">
        <w:t xml:space="preserve"> </w:t>
      </w:r>
      <w:r>
        <w:rPr>
          <w:lang w:val="en-US"/>
        </w:rPr>
        <w:t>and</w:t>
      </w:r>
      <w:r w:rsidRPr="00957BE0">
        <w:t xml:space="preserve"> </w:t>
      </w:r>
      <w:r>
        <w:rPr>
          <w:lang w:val="en-US"/>
        </w:rPr>
        <w:t>Precaution</w:t>
      </w:r>
      <w:r w:rsidRPr="00957BE0">
        <w:t xml:space="preserve">: </w:t>
      </w:r>
      <w:r>
        <w:rPr>
          <w:lang w:val="en-US"/>
        </w:rPr>
        <w:t>Challenges</w:t>
      </w:r>
      <w:r w:rsidRPr="00957BE0">
        <w:t xml:space="preserve"> </w:t>
      </w:r>
      <w:r>
        <w:rPr>
          <w:lang w:val="en-US"/>
        </w:rPr>
        <w:t>and</w:t>
      </w:r>
      <w:r w:rsidRPr="00957BE0">
        <w:t xml:space="preserve"> </w:t>
      </w:r>
      <w:r>
        <w:rPr>
          <w:lang w:val="en-US"/>
        </w:rPr>
        <w:t>Implications</w:t>
      </w:r>
      <w:r w:rsidRPr="00957BE0">
        <w:t xml:space="preserve"> </w:t>
      </w:r>
      <w:r>
        <w:rPr>
          <w:lang w:val="en-US"/>
        </w:rPr>
        <w:t>for</w:t>
      </w:r>
      <w:r w:rsidRPr="00957BE0">
        <w:t xml:space="preserve"> </w:t>
      </w:r>
      <w:r>
        <w:rPr>
          <w:lang w:val="en-US"/>
        </w:rPr>
        <w:t>Science</w:t>
      </w:r>
      <w:r w:rsidRPr="00957BE0">
        <w:t xml:space="preserve"> </w:t>
      </w:r>
      <w:r>
        <w:rPr>
          <w:lang w:val="en-US"/>
        </w:rPr>
        <w:t>and</w:t>
      </w:r>
      <w:r w:rsidRPr="00957BE0">
        <w:t xml:space="preserve"> </w:t>
      </w:r>
      <w:r>
        <w:rPr>
          <w:lang w:val="en-US"/>
        </w:rPr>
        <w:t>the</w:t>
      </w:r>
      <w:r w:rsidRPr="00957BE0">
        <w:t xml:space="preserve"> </w:t>
      </w:r>
      <w:r>
        <w:rPr>
          <w:lang w:val="en-US"/>
        </w:rPr>
        <w:t>Policy</w:t>
      </w:r>
      <w:r w:rsidRPr="00957BE0">
        <w:t xml:space="preserve"> </w:t>
      </w:r>
      <w:r>
        <w:rPr>
          <w:lang w:val="en-US"/>
        </w:rPr>
        <w:t>of</w:t>
      </w:r>
      <w:r w:rsidRPr="00957BE0">
        <w:t xml:space="preserve"> </w:t>
      </w:r>
      <w:r>
        <w:rPr>
          <w:lang w:val="en-US"/>
        </w:rPr>
        <w:t>Genetically</w:t>
      </w:r>
      <w:r w:rsidRPr="00957BE0">
        <w:t xml:space="preserve"> </w:t>
      </w:r>
      <w:r>
        <w:rPr>
          <w:lang w:val="en-US"/>
        </w:rPr>
        <w:t>Modified</w:t>
      </w:r>
      <w:r w:rsidRPr="00957BE0">
        <w:t xml:space="preserve"> </w:t>
      </w:r>
      <w:r>
        <w:rPr>
          <w:lang w:val="en-US"/>
        </w:rPr>
        <w:t>Organisms</w:t>
      </w:r>
      <w:r w:rsidRPr="00957BE0">
        <w:t xml:space="preserve">”, </w:t>
      </w:r>
      <w:r>
        <w:rPr>
          <w:lang w:val="en-US"/>
        </w:rPr>
        <w:t>in</w:t>
      </w:r>
      <w:r w:rsidRPr="00957BE0">
        <w:t xml:space="preserve">: </w:t>
      </w:r>
      <w:r>
        <w:rPr>
          <w:i/>
          <w:lang w:val="en-US"/>
        </w:rPr>
        <w:t>N</w:t>
      </w:r>
      <w:r w:rsidRPr="00957BE0">
        <w:rPr>
          <w:i/>
        </w:rPr>
        <w:t xml:space="preserve">. </w:t>
      </w:r>
      <w:r>
        <w:rPr>
          <w:i/>
          <w:lang w:val="en-US"/>
        </w:rPr>
        <w:t>de</w:t>
      </w:r>
      <w:r w:rsidRPr="00957BE0">
        <w:rPr>
          <w:i/>
        </w:rPr>
        <w:t xml:space="preserve"> </w:t>
      </w:r>
      <w:r>
        <w:rPr>
          <w:i/>
          <w:lang w:val="en-US"/>
        </w:rPr>
        <w:t>Sadeleer</w:t>
      </w:r>
      <w:r w:rsidRPr="00957BE0">
        <w:rPr>
          <w:i/>
        </w:rPr>
        <w:t xml:space="preserve"> </w:t>
      </w:r>
      <w:r w:rsidRPr="00957BE0">
        <w:t>(</w:t>
      </w:r>
      <w:r>
        <w:rPr>
          <w:lang w:val="en-US"/>
        </w:rPr>
        <w:t>eds</w:t>
      </w:r>
      <w:r w:rsidRPr="00957BE0">
        <w:t xml:space="preserve">), </w:t>
      </w:r>
      <w:r>
        <w:rPr>
          <w:lang w:val="en-US"/>
        </w:rPr>
        <w:t>Implementing</w:t>
      </w:r>
      <w:r w:rsidRPr="00957BE0">
        <w:t xml:space="preserve"> </w:t>
      </w:r>
      <w:r>
        <w:rPr>
          <w:lang w:val="en-US"/>
        </w:rPr>
        <w:t>the</w:t>
      </w:r>
      <w:r w:rsidRPr="00957BE0">
        <w:t xml:space="preserve"> </w:t>
      </w:r>
      <w:r>
        <w:rPr>
          <w:lang w:val="en-US"/>
        </w:rPr>
        <w:t>Precautionary</w:t>
      </w:r>
      <w:r w:rsidRPr="00957BE0">
        <w:t xml:space="preserve"> </w:t>
      </w:r>
      <w:r>
        <w:rPr>
          <w:lang w:val="en-US"/>
        </w:rPr>
        <w:t>Principle</w:t>
      </w:r>
      <w:r w:rsidRPr="00957BE0">
        <w:t xml:space="preserve">, </w:t>
      </w:r>
      <w:r>
        <w:rPr>
          <w:lang w:val="en-US"/>
        </w:rPr>
        <w:t>London</w:t>
      </w:r>
      <w:r w:rsidRPr="00957BE0">
        <w:t xml:space="preserve">, </w:t>
      </w:r>
      <w:r>
        <w:rPr>
          <w:lang w:val="en-US"/>
        </w:rPr>
        <w:t>Earthscan</w:t>
      </w:r>
      <w:r w:rsidRPr="00957BE0">
        <w:t xml:space="preserve">, 2007, </w:t>
      </w:r>
      <w:r>
        <w:t>σ</w:t>
      </w:r>
      <w:r w:rsidRPr="00957BE0">
        <w:t>. 188 (</w:t>
      </w:r>
      <w:r>
        <w:t>η</w:t>
      </w:r>
      <w:r w:rsidRPr="00957BE0">
        <w:t xml:space="preserve"> </w:t>
      </w:r>
      <w:r>
        <w:t>οποία</w:t>
      </w:r>
      <w:r w:rsidRPr="00957BE0">
        <w:t xml:space="preserve"> </w:t>
      </w:r>
      <w:r>
        <w:t>υπογραμμίζει</w:t>
      </w:r>
      <w:r w:rsidRPr="00957BE0">
        <w:t xml:space="preserve"> </w:t>
      </w:r>
      <w:r>
        <w:t>ότι</w:t>
      </w:r>
      <w:r w:rsidRPr="00957BE0">
        <w:t xml:space="preserve"> </w:t>
      </w:r>
      <w:r>
        <w:t>υπάρχει</w:t>
      </w:r>
      <w:r w:rsidRPr="00957BE0">
        <w:t xml:space="preserve"> </w:t>
      </w:r>
      <w:r>
        <w:t>μεθοδολογική</w:t>
      </w:r>
      <w:r w:rsidRPr="00957BE0">
        <w:t xml:space="preserve"> </w:t>
      </w:r>
      <w:r>
        <w:t>αβεβαιότητα</w:t>
      </w:r>
      <w:r w:rsidRPr="00957BE0">
        <w:t xml:space="preserve"> </w:t>
      </w:r>
      <w:r>
        <w:t>η</w:t>
      </w:r>
      <w:r w:rsidRPr="00957BE0">
        <w:t xml:space="preserve"> </w:t>
      </w:r>
      <w:r>
        <w:t>οποία</w:t>
      </w:r>
      <w:r w:rsidRPr="00957BE0">
        <w:t xml:space="preserve"> </w:t>
      </w:r>
      <w:r>
        <w:t>οφείλεται</w:t>
      </w:r>
      <w:r w:rsidRPr="00957BE0">
        <w:t xml:space="preserve"> </w:t>
      </w:r>
      <w:r>
        <w:t>στην</w:t>
      </w:r>
      <w:r w:rsidRPr="00957BE0">
        <w:t xml:space="preserve"> </w:t>
      </w:r>
      <w:r>
        <w:t>ελλιπή</w:t>
      </w:r>
      <w:r w:rsidRPr="00957BE0">
        <w:t xml:space="preserve"> </w:t>
      </w:r>
      <w:r>
        <w:t>κατανόηση</w:t>
      </w:r>
      <w:r w:rsidRPr="00957BE0">
        <w:t xml:space="preserve"> </w:t>
      </w:r>
      <w:r>
        <w:t>των</w:t>
      </w:r>
      <w:r w:rsidRPr="00957BE0">
        <w:t xml:space="preserve"> </w:t>
      </w:r>
      <w:r>
        <w:t>αλληλοδράσεων</w:t>
      </w:r>
      <w:r w:rsidRPr="00957BE0">
        <w:t xml:space="preserve"> </w:t>
      </w:r>
      <w:r>
        <w:t>μεταξύ</w:t>
      </w:r>
      <w:r w:rsidRPr="00957BE0">
        <w:t xml:space="preserve"> </w:t>
      </w:r>
      <w:r>
        <w:t>μεταβλητών</w:t>
      </w:r>
      <w:r w:rsidRPr="00957BE0">
        <w:t xml:space="preserve"> </w:t>
      </w:r>
      <w:r>
        <w:t>και</w:t>
      </w:r>
      <w:r w:rsidRPr="00957BE0">
        <w:t xml:space="preserve"> </w:t>
      </w:r>
      <w:r>
        <w:t>των</w:t>
      </w:r>
      <w:r w:rsidRPr="00957BE0">
        <w:t xml:space="preserve"> </w:t>
      </w:r>
      <w:r>
        <w:t>μεθόδων</w:t>
      </w:r>
      <w:r w:rsidRPr="00957BE0">
        <w:t xml:space="preserve"> </w:t>
      </w:r>
      <w:r>
        <w:t>που</w:t>
      </w:r>
      <w:r w:rsidRPr="00957BE0">
        <w:t xml:space="preserve"> </w:t>
      </w:r>
      <w:r>
        <w:t>χρησιμοποιήθηκαν</w:t>
      </w:r>
      <w:r w:rsidRPr="00957BE0">
        <w:t xml:space="preserve"> </w:t>
      </w:r>
      <w:r>
        <w:t>για</w:t>
      </w:r>
      <w:r w:rsidRPr="00957BE0">
        <w:t xml:space="preserve"> </w:t>
      </w:r>
      <w:r>
        <w:t>να</w:t>
      </w:r>
      <w:r w:rsidRPr="00957BE0">
        <w:t xml:space="preserve"> </w:t>
      </w:r>
      <w:r>
        <w:t>προβλέψουν</w:t>
      </w:r>
      <w:r w:rsidRPr="00957BE0">
        <w:t xml:space="preserve"> </w:t>
      </w:r>
      <w:r>
        <w:t>τη</w:t>
      </w:r>
      <w:r w:rsidRPr="00957BE0">
        <w:t xml:space="preserve"> </w:t>
      </w:r>
      <w:r>
        <w:t>συμπεριφορά</w:t>
      </w:r>
      <w:r w:rsidRPr="00957BE0">
        <w:t xml:space="preserve"> </w:t>
      </w:r>
      <w:r>
        <w:t>των</w:t>
      </w:r>
      <w:r w:rsidRPr="00957BE0">
        <w:t xml:space="preserve"> </w:t>
      </w:r>
      <w:r>
        <w:t>συστημάτων</w:t>
      </w:r>
      <w:r w:rsidRPr="00957BE0">
        <w:t xml:space="preserve"> </w:t>
      </w:r>
      <w:r>
        <w:t>με</w:t>
      </w:r>
      <w:r w:rsidRPr="00957BE0">
        <w:t xml:space="preserve"> </w:t>
      </w:r>
      <w:r>
        <w:t>πολλαπλές</w:t>
      </w:r>
      <w:r w:rsidRPr="00957BE0">
        <w:t xml:space="preserve"> </w:t>
      </w:r>
      <w:r>
        <w:t>μεταβολές).</w:t>
      </w:r>
      <w:r w:rsidRPr="00E24FC9">
        <w:t xml:space="preserve"> </w:t>
      </w:r>
    </w:p>
  </w:footnote>
  <w:footnote w:id="96">
    <w:p w:rsidR="008D4F0C" w:rsidRPr="000575ED" w:rsidRDefault="008D4F0C" w:rsidP="008D4F0C">
      <w:pPr>
        <w:pStyle w:val="FootnoteText"/>
        <w:jc w:val="both"/>
      </w:pPr>
      <w:r>
        <w:rPr>
          <w:rStyle w:val="FootnoteReference"/>
        </w:rPr>
        <w:footnoteRef/>
      </w:r>
      <w:r w:rsidRPr="008D4F0C">
        <w:t xml:space="preserve"> </w:t>
      </w:r>
      <w:r>
        <w:rPr>
          <w:i/>
          <w:lang w:val="en-US"/>
        </w:rPr>
        <w:t>L</w:t>
      </w:r>
      <w:r w:rsidRPr="008D4F0C">
        <w:rPr>
          <w:i/>
        </w:rPr>
        <w:t>.</w:t>
      </w:r>
      <w:r>
        <w:rPr>
          <w:i/>
          <w:lang w:val="en-US"/>
        </w:rPr>
        <w:t>A</w:t>
      </w:r>
      <w:r w:rsidRPr="008D4F0C">
        <w:rPr>
          <w:i/>
        </w:rPr>
        <w:t xml:space="preserve">. </w:t>
      </w:r>
      <w:r>
        <w:rPr>
          <w:i/>
          <w:lang w:val="en-US"/>
        </w:rPr>
        <w:t>Nelson</w:t>
      </w:r>
      <w:r w:rsidRPr="008D4F0C">
        <w:t>, “</w:t>
      </w:r>
      <w:r>
        <w:rPr>
          <w:lang w:val="en-US"/>
        </w:rPr>
        <w:t>Delineating</w:t>
      </w:r>
      <w:r w:rsidRPr="008D4F0C">
        <w:t xml:space="preserve"> </w:t>
      </w:r>
      <w:r>
        <w:rPr>
          <w:lang w:val="en-US"/>
        </w:rPr>
        <w:t>Deference</w:t>
      </w:r>
      <w:r w:rsidRPr="008D4F0C">
        <w:t xml:space="preserve"> </w:t>
      </w:r>
      <w:r>
        <w:rPr>
          <w:lang w:val="en-US"/>
        </w:rPr>
        <w:t>to</w:t>
      </w:r>
      <w:r w:rsidRPr="008D4F0C">
        <w:t xml:space="preserve"> </w:t>
      </w:r>
      <w:r>
        <w:rPr>
          <w:lang w:val="en-US"/>
        </w:rPr>
        <w:t>Agency</w:t>
      </w:r>
      <w:r w:rsidRPr="008D4F0C">
        <w:t xml:space="preserve"> </w:t>
      </w:r>
      <w:r>
        <w:rPr>
          <w:lang w:val="en-US"/>
        </w:rPr>
        <w:t>Science</w:t>
      </w:r>
      <w:r w:rsidRPr="008D4F0C">
        <w:t xml:space="preserve">: </w:t>
      </w:r>
      <w:r>
        <w:rPr>
          <w:lang w:val="en-US"/>
        </w:rPr>
        <w:t>Doctrine</w:t>
      </w:r>
      <w:r w:rsidRPr="008D4F0C">
        <w:t xml:space="preserve"> </w:t>
      </w:r>
      <w:r>
        <w:rPr>
          <w:lang w:val="en-US"/>
        </w:rPr>
        <w:t>or</w:t>
      </w:r>
      <w:r w:rsidRPr="008D4F0C">
        <w:t xml:space="preserve"> </w:t>
      </w:r>
      <w:r>
        <w:rPr>
          <w:lang w:val="en-US"/>
        </w:rPr>
        <w:t>Political</w:t>
      </w:r>
      <w:r w:rsidRPr="008D4F0C">
        <w:t xml:space="preserve"> </w:t>
      </w:r>
      <w:r>
        <w:rPr>
          <w:lang w:val="en-US"/>
        </w:rPr>
        <w:t>Ideology</w:t>
      </w:r>
      <w:r w:rsidRPr="008D4F0C">
        <w:t xml:space="preserve">? ”, </w:t>
      </w:r>
      <w:r>
        <w:rPr>
          <w:lang w:val="en-US"/>
        </w:rPr>
        <w:t>Environmental</w:t>
      </w:r>
      <w:r w:rsidRPr="008D4F0C">
        <w:t xml:space="preserve"> </w:t>
      </w:r>
      <w:r>
        <w:rPr>
          <w:lang w:val="en-US"/>
        </w:rPr>
        <w:t>Law</w:t>
      </w:r>
      <w:r w:rsidRPr="008D4F0C">
        <w:t xml:space="preserve">, </w:t>
      </w:r>
      <w:r>
        <w:rPr>
          <w:lang w:val="en-US"/>
        </w:rPr>
        <w:t>Vol</w:t>
      </w:r>
      <w:r w:rsidRPr="008D4F0C">
        <w:t xml:space="preserve">. 40, 2010, </w:t>
      </w:r>
      <w:r>
        <w:t>σ</w:t>
      </w:r>
      <w:r w:rsidRPr="000575ED">
        <w:t>.</w:t>
      </w:r>
      <w:r>
        <w:t xml:space="preserve"> 1061 και </w:t>
      </w:r>
      <w:r w:rsidRPr="000575ED">
        <w:t xml:space="preserve">1063 (1057 </w:t>
      </w:r>
      <w:r>
        <w:t>επ</w:t>
      </w:r>
      <w:r w:rsidRPr="000575ED">
        <w:t>) (</w:t>
      </w:r>
      <w:r>
        <w:t>όπου η</w:t>
      </w:r>
      <w:r w:rsidRPr="000575ED">
        <w:t xml:space="preserve"> </w:t>
      </w:r>
      <w:r>
        <w:t>συγγραφέας</w:t>
      </w:r>
      <w:r w:rsidRPr="000575ED">
        <w:t xml:space="preserve"> </w:t>
      </w:r>
      <w:r>
        <w:t>υπογραμμίζει</w:t>
      </w:r>
      <w:r w:rsidRPr="000575ED">
        <w:t xml:space="preserve"> </w:t>
      </w:r>
      <w:r>
        <w:t>ότι</w:t>
      </w:r>
      <w:r w:rsidRPr="000575ED">
        <w:t xml:space="preserve"> </w:t>
      </w:r>
      <w:r>
        <w:t>σε</w:t>
      </w:r>
      <w:r w:rsidRPr="000575ED">
        <w:t xml:space="preserve"> </w:t>
      </w:r>
      <w:r>
        <w:t>σύνθετα</w:t>
      </w:r>
      <w:r w:rsidRPr="000575ED">
        <w:t xml:space="preserve"> </w:t>
      </w:r>
      <w:r>
        <w:t>επιστημονικά</w:t>
      </w:r>
      <w:r w:rsidRPr="000575ED">
        <w:t xml:space="preserve"> </w:t>
      </w:r>
      <w:r>
        <w:t>ζητήματα</w:t>
      </w:r>
      <w:r w:rsidRPr="000575ED">
        <w:t xml:space="preserve"> </w:t>
      </w:r>
      <w:r>
        <w:t>η</w:t>
      </w:r>
      <w:r w:rsidRPr="000575ED">
        <w:t xml:space="preserve">  </w:t>
      </w:r>
      <w:r>
        <w:t>επιστημονική</w:t>
      </w:r>
      <w:r w:rsidRPr="000575ED">
        <w:t xml:space="preserve"> </w:t>
      </w:r>
      <w:r>
        <w:t>πληροφόρηση</w:t>
      </w:r>
      <w:r w:rsidRPr="000575ED">
        <w:t xml:space="preserve"> </w:t>
      </w:r>
      <w:r>
        <w:t>δεν</w:t>
      </w:r>
      <w:r w:rsidRPr="000575ED">
        <w:t xml:space="preserve"> </w:t>
      </w:r>
      <w:r>
        <w:t>είναι</w:t>
      </w:r>
      <w:r w:rsidRPr="000575ED">
        <w:t xml:space="preserve"> </w:t>
      </w:r>
      <w:r>
        <w:t>αρκετή</w:t>
      </w:r>
      <w:r w:rsidRPr="000575ED">
        <w:t xml:space="preserve">  </w:t>
      </w:r>
      <w:r>
        <w:t>και</w:t>
      </w:r>
      <w:r w:rsidRPr="000575ED">
        <w:t xml:space="preserve"> </w:t>
      </w:r>
      <w:r>
        <w:t>κατά</w:t>
      </w:r>
      <w:r w:rsidRPr="000575ED">
        <w:t xml:space="preserve"> </w:t>
      </w:r>
      <w:r>
        <w:t>συνέπεια</w:t>
      </w:r>
      <w:r w:rsidRPr="000575ED">
        <w:t xml:space="preserve"> </w:t>
      </w:r>
      <w:r>
        <w:t>οι</w:t>
      </w:r>
      <w:r w:rsidRPr="000575ED">
        <w:t xml:space="preserve"> </w:t>
      </w:r>
      <w:r>
        <w:t>αρμόδιες</w:t>
      </w:r>
      <w:r w:rsidRPr="000575ED">
        <w:t xml:space="preserve"> </w:t>
      </w:r>
      <w:r>
        <w:t>αρχές</w:t>
      </w:r>
      <w:r w:rsidRPr="000575ED">
        <w:t xml:space="preserve"> </w:t>
      </w:r>
      <w:r>
        <w:t>αναγκάζονται</w:t>
      </w:r>
      <w:r w:rsidRPr="000575ED">
        <w:t xml:space="preserve"> </w:t>
      </w:r>
      <w:r>
        <w:t>να</w:t>
      </w:r>
      <w:r w:rsidRPr="000575ED">
        <w:t xml:space="preserve"> </w:t>
      </w:r>
      <w:r>
        <w:t>μεταμφιέζουν</w:t>
      </w:r>
      <w:r w:rsidRPr="000575ED">
        <w:t xml:space="preserve"> </w:t>
      </w:r>
      <w:r>
        <w:t>πολιτικές</w:t>
      </w:r>
      <w:r w:rsidRPr="000575ED">
        <w:t xml:space="preserve"> </w:t>
      </w:r>
      <w:r>
        <w:t>επιλογές σε επιστημονικά ευρήματα.)</w:t>
      </w:r>
    </w:p>
  </w:footnote>
  <w:footnote w:id="97">
    <w:p w:rsidR="008D4F0C" w:rsidRPr="00AD5CA2" w:rsidRDefault="008D4F0C" w:rsidP="008D4F0C">
      <w:pPr>
        <w:pStyle w:val="FootnoteText"/>
        <w:jc w:val="both"/>
        <w:rPr>
          <w:lang w:val="en-US"/>
        </w:rPr>
      </w:pPr>
      <w:r w:rsidRPr="00AD5CA2">
        <w:rPr>
          <w:rStyle w:val="FootnoteReference"/>
        </w:rPr>
        <w:footnoteRef/>
      </w:r>
      <w:r w:rsidRPr="00AD5CA2">
        <w:rPr>
          <w:lang w:val="en-US"/>
        </w:rPr>
        <w:t xml:space="preserve"> </w:t>
      </w:r>
      <w:r w:rsidRPr="00AD5CA2">
        <w:rPr>
          <w:bCs/>
          <w:i/>
          <w:lang w:val="en-US"/>
        </w:rPr>
        <w:t>A. Babich</w:t>
      </w:r>
      <w:r w:rsidRPr="00AD5CA2">
        <w:rPr>
          <w:lang w:val="en-US"/>
        </w:rPr>
        <w:t xml:space="preserve">, “Too Much Science in Environmental Law”, </w:t>
      </w:r>
      <w:smartTag w:uri="urn:schemas-microsoft-com:office:smarttags" w:element="City">
        <w:smartTag w:uri="urn:schemas-microsoft-com:office:smarttags" w:element="place">
          <w:r w:rsidRPr="00AD5CA2">
            <w:rPr>
              <w:lang w:val="en-US"/>
            </w:rPr>
            <w:t>Columbia</w:t>
          </w:r>
        </w:smartTag>
      </w:smartTag>
      <w:r w:rsidRPr="00AD5CA2">
        <w:rPr>
          <w:lang w:val="en-US"/>
        </w:rPr>
        <w:t xml:space="preserve"> Journal of Environmental Law, Vol. 28</w:t>
      </w:r>
      <w:r w:rsidRPr="00AD5CA2">
        <w:rPr>
          <w:lang w:val="en-GB"/>
        </w:rPr>
        <w:t>(</w:t>
      </w:r>
      <w:r w:rsidRPr="00AD5CA2">
        <w:rPr>
          <w:lang w:val="en-US"/>
        </w:rPr>
        <w:t>1</w:t>
      </w:r>
      <w:r w:rsidRPr="00AD5CA2">
        <w:rPr>
          <w:lang w:val="en-GB"/>
        </w:rPr>
        <w:t>)</w:t>
      </w:r>
      <w:r w:rsidRPr="00AD5CA2">
        <w:rPr>
          <w:lang w:val="en-US"/>
        </w:rPr>
        <w:t xml:space="preserve">, 2003, </w:t>
      </w:r>
      <w:r w:rsidRPr="00AD5CA2">
        <w:t>σ</w:t>
      </w:r>
      <w:r w:rsidRPr="00AD5CA2">
        <w:rPr>
          <w:lang w:val="en-US"/>
        </w:rPr>
        <w:t>. 140-141.</w:t>
      </w:r>
      <w:r w:rsidRPr="00AD5CA2">
        <w:rPr>
          <w:lang w:val="en-GB"/>
        </w:rPr>
        <w:t xml:space="preserve"> </w:t>
      </w:r>
      <w:r w:rsidRPr="00AD5CA2">
        <w:rPr>
          <w:i/>
          <w:lang w:val="en-GB"/>
        </w:rPr>
        <w:t>H</w:t>
      </w:r>
      <w:r w:rsidRPr="00AD5CA2">
        <w:rPr>
          <w:i/>
          <w:lang w:val="en-US"/>
        </w:rPr>
        <w:t>. Latin</w:t>
      </w:r>
      <w:r w:rsidRPr="00AD5CA2">
        <w:rPr>
          <w:lang w:val="en-US"/>
        </w:rPr>
        <w:t>, “Good Science, Bad Regulation, and Toxic Risk Assessment”, Yale Journal on Regulation, Vol. 5, 1988,</w:t>
      </w:r>
      <w:r w:rsidRPr="00AD5CA2">
        <w:rPr>
          <w:lang w:val="en-GB"/>
        </w:rPr>
        <w:t xml:space="preserve"> </w:t>
      </w:r>
      <w:r w:rsidRPr="00AD5CA2">
        <w:t>σ</w:t>
      </w:r>
      <w:r w:rsidRPr="00AD5CA2">
        <w:rPr>
          <w:lang w:val="en-GB"/>
        </w:rPr>
        <w:t>. 91.</w:t>
      </w:r>
      <w:r w:rsidRPr="00AD5CA2">
        <w:rPr>
          <w:lang w:val="en-US"/>
        </w:rPr>
        <w:t xml:space="preserve"> </w:t>
      </w:r>
    </w:p>
  </w:footnote>
  <w:footnote w:id="98">
    <w:p w:rsidR="008D4F0C" w:rsidRPr="00AD50FA" w:rsidRDefault="008D4F0C" w:rsidP="008D4F0C">
      <w:pPr>
        <w:pStyle w:val="FootnoteText"/>
        <w:jc w:val="both"/>
        <w:rPr>
          <w:lang w:val="en-US"/>
        </w:rPr>
      </w:pPr>
      <w:r>
        <w:rPr>
          <w:rStyle w:val="FootnoteReference"/>
        </w:rPr>
        <w:footnoteRef/>
      </w:r>
      <w:r w:rsidRPr="005F47DD">
        <w:t xml:space="preserve"> </w:t>
      </w:r>
      <w:r>
        <w:t xml:space="preserve">Αναλυτικά για τα ζητήματα αυτά, </w:t>
      </w:r>
      <w:r>
        <w:rPr>
          <w:i/>
        </w:rPr>
        <w:t>Γ. Μπάλια</w:t>
      </w:r>
      <w:r>
        <w:t>, Περιβαλλοντικοί κίνδυνοι: Διαπλοκή Επιστήμης, Δικαίου και Πολιτικής, Αθήνα, εκδ. Αντ</w:t>
      </w:r>
      <w:r w:rsidRPr="00AD50FA">
        <w:rPr>
          <w:lang w:val="en-US"/>
        </w:rPr>
        <w:t>.</w:t>
      </w:r>
      <w:r>
        <w:t>Ν</w:t>
      </w:r>
      <w:r w:rsidRPr="00AD50FA">
        <w:rPr>
          <w:lang w:val="en-US"/>
        </w:rPr>
        <w:t xml:space="preserve">. </w:t>
      </w:r>
      <w:r>
        <w:t>Σάκκουλα</w:t>
      </w:r>
      <w:r w:rsidRPr="00AD50FA">
        <w:rPr>
          <w:lang w:val="en-US"/>
        </w:rPr>
        <w:t>, 2009.</w:t>
      </w:r>
    </w:p>
  </w:footnote>
  <w:footnote w:id="99">
    <w:p w:rsidR="008D4F0C" w:rsidRPr="00AD5CA2" w:rsidRDefault="008D4F0C" w:rsidP="008D4F0C">
      <w:pPr>
        <w:pStyle w:val="FootnoteText"/>
        <w:jc w:val="both"/>
        <w:rPr>
          <w:lang w:val="en-US"/>
        </w:rPr>
      </w:pPr>
      <w:r w:rsidRPr="00AD5CA2">
        <w:rPr>
          <w:rStyle w:val="FootnoteReference"/>
        </w:rPr>
        <w:footnoteRef/>
      </w:r>
      <w:r w:rsidRPr="00AD5CA2">
        <w:rPr>
          <w:i/>
          <w:lang w:val="en-US"/>
        </w:rPr>
        <w:t>J. van Loon</w:t>
      </w:r>
      <w:r w:rsidRPr="00AD5CA2">
        <w:rPr>
          <w:lang w:val="en-US"/>
        </w:rPr>
        <w:t xml:space="preserve">, “Virtual Risks in an Age of Cybernetic Reproduction”, </w:t>
      </w:r>
      <w:r w:rsidRPr="00AD5CA2">
        <w:t>ό</w:t>
      </w:r>
      <w:r w:rsidRPr="00AD5CA2">
        <w:rPr>
          <w:lang w:val="en-US"/>
        </w:rPr>
        <w:t>.</w:t>
      </w:r>
      <w:r w:rsidRPr="00AD5CA2">
        <w:t>π</w:t>
      </w:r>
      <w:r w:rsidRPr="00AD5CA2">
        <w:rPr>
          <w:lang w:val="en-US"/>
        </w:rPr>
        <w:t xml:space="preserve">. </w:t>
      </w:r>
      <w:r w:rsidRPr="00AD5CA2">
        <w:t>σ</w:t>
      </w:r>
      <w:r w:rsidRPr="00AD5CA2">
        <w:rPr>
          <w:lang w:val="en-US"/>
        </w:rPr>
        <w:t>. 166.</w:t>
      </w:r>
    </w:p>
  </w:footnote>
  <w:footnote w:id="100">
    <w:p w:rsidR="008D4F0C" w:rsidRPr="00AD5986" w:rsidRDefault="008D4F0C" w:rsidP="008D4F0C">
      <w:pPr>
        <w:pStyle w:val="FootnoteText"/>
        <w:rPr>
          <w:lang w:val="en-US"/>
        </w:rPr>
      </w:pPr>
      <w:r>
        <w:rPr>
          <w:rStyle w:val="FootnoteReference"/>
        </w:rPr>
        <w:footnoteRef/>
      </w:r>
      <w:r w:rsidRPr="00B34EE3">
        <w:rPr>
          <w:lang w:val="en-US"/>
        </w:rPr>
        <w:t xml:space="preserve"> </w:t>
      </w:r>
      <w:r>
        <w:rPr>
          <w:i/>
          <w:lang w:val="en-US"/>
        </w:rPr>
        <w:t>D</w:t>
      </w:r>
      <w:r w:rsidRPr="006436A9">
        <w:rPr>
          <w:i/>
          <w:lang w:val="en-US"/>
        </w:rPr>
        <w:t>.</w:t>
      </w:r>
      <w:r>
        <w:rPr>
          <w:i/>
          <w:lang w:val="en-US"/>
        </w:rPr>
        <w:t>A</w:t>
      </w:r>
      <w:r w:rsidRPr="006436A9">
        <w:rPr>
          <w:i/>
          <w:lang w:val="en-US"/>
        </w:rPr>
        <w:t xml:space="preserve">. </w:t>
      </w:r>
      <w:r>
        <w:rPr>
          <w:i/>
          <w:lang w:val="en-US"/>
        </w:rPr>
        <w:t>Andow</w:t>
      </w:r>
      <w:r w:rsidRPr="006436A9">
        <w:rPr>
          <w:i/>
          <w:lang w:val="en-US"/>
        </w:rPr>
        <w:t xml:space="preserve">, </w:t>
      </w:r>
      <w:r>
        <w:rPr>
          <w:i/>
          <w:lang w:val="en-US"/>
        </w:rPr>
        <w:t>C</w:t>
      </w:r>
      <w:r w:rsidRPr="006436A9">
        <w:rPr>
          <w:i/>
          <w:lang w:val="en-US"/>
        </w:rPr>
        <w:t xml:space="preserve">. </w:t>
      </w:r>
      <w:r>
        <w:rPr>
          <w:i/>
          <w:lang w:val="en-US"/>
        </w:rPr>
        <w:t>Zwahlen</w:t>
      </w:r>
      <w:r w:rsidRPr="006436A9">
        <w:rPr>
          <w:lang w:val="en-US"/>
        </w:rPr>
        <w:t>, “</w:t>
      </w:r>
      <w:r>
        <w:rPr>
          <w:lang w:val="en-US"/>
        </w:rPr>
        <w:t>Assessing</w:t>
      </w:r>
      <w:r w:rsidRPr="006436A9">
        <w:rPr>
          <w:lang w:val="en-US"/>
        </w:rPr>
        <w:t xml:space="preserve"> </w:t>
      </w:r>
      <w:r>
        <w:rPr>
          <w:lang w:val="en-US"/>
        </w:rPr>
        <w:t>Environmental</w:t>
      </w:r>
      <w:r w:rsidRPr="006436A9">
        <w:rPr>
          <w:lang w:val="en-US"/>
        </w:rPr>
        <w:t xml:space="preserve"> </w:t>
      </w:r>
      <w:r>
        <w:rPr>
          <w:lang w:val="en-US"/>
        </w:rPr>
        <w:t>Risks</w:t>
      </w:r>
      <w:r w:rsidRPr="006436A9">
        <w:rPr>
          <w:lang w:val="en-US"/>
        </w:rPr>
        <w:t xml:space="preserve"> </w:t>
      </w:r>
      <w:r>
        <w:rPr>
          <w:lang w:val="en-US"/>
        </w:rPr>
        <w:t>of</w:t>
      </w:r>
      <w:r w:rsidRPr="006436A9">
        <w:rPr>
          <w:lang w:val="en-US"/>
        </w:rPr>
        <w:t xml:space="preserve"> </w:t>
      </w:r>
      <w:r>
        <w:rPr>
          <w:lang w:val="en-US"/>
        </w:rPr>
        <w:t>Transgenic</w:t>
      </w:r>
      <w:r w:rsidRPr="006436A9">
        <w:rPr>
          <w:lang w:val="en-US"/>
        </w:rPr>
        <w:t xml:space="preserve"> </w:t>
      </w:r>
      <w:r>
        <w:rPr>
          <w:lang w:val="en-US"/>
        </w:rPr>
        <w:t>Plants</w:t>
      </w:r>
      <w:r w:rsidRPr="006436A9">
        <w:rPr>
          <w:lang w:val="en-US"/>
        </w:rPr>
        <w:t xml:space="preserve">”, </w:t>
      </w:r>
      <w:r>
        <w:t>ό</w:t>
      </w:r>
      <w:r w:rsidRPr="006436A9">
        <w:rPr>
          <w:lang w:val="en-US"/>
        </w:rPr>
        <w:t>.</w:t>
      </w:r>
      <w:r>
        <w:t>π</w:t>
      </w:r>
      <w:r w:rsidRPr="006436A9">
        <w:rPr>
          <w:lang w:val="en-US"/>
        </w:rPr>
        <w:t xml:space="preserve">., </w:t>
      </w:r>
      <w:r>
        <w:t>σ</w:t>
      </w:r>
      <w:r w:rsidRPr="006436A9">
        <w:rPr>
          <w:lang w:val="en-US"/>
        </w:rPr>
        <w:t>. 1</w:t>
      </w:r>
      <w:r>
        <w:rPr>
          <w:lang w:val="en-US"/>
        </w:rPr>
        <w:t>9</w:t>
      </w:r>
      <w:r w:rsidRPr="00AD5986">
        <w:rPr>
          <w:lang w:val="en-US"/>
        </w:rPr>
        <w:t>8</w:t>
      </w:r>
      <w:r w:rsidRPr="006436A9">
        <w:rPr>
          <w:lang w:val="en-US"/>
        </w:rPr>
        <w:t>.</w:t>
      </w:r>
    </w:p>
  </w:footnote>
  <w:footnote w:id="101">
    <w:p w:rsidR="008D4F0C" w:rsidRPr="0067747C" w:rsidRDefault="008D4F0C" w:rsidP="008D4F0C">
      <w:pPr>
        <w:pStyle w:val="FootnoteText"/>
        <w:rPr>
          <w:lang w:val="en-US"/>
        </w:rPr>
      </w:pPr>
      <w:r>
        <w:rPr>
          <w:rStyle w:val="FootnoteReference"/>
        </w:rPr>
        <w:footnoteRef/>
      </w:r>
      <w:r w:rsidRPr="006D1035">
        <w:rPr>
          <w:lang w:val="en-US"/>
        </w:rPr>
        <w:t xml:space="preserve"> </w:t>
      </w:r>
      <w:r w:rsidRPr="001971B0">
        <w:rPr>
          <w:i/>
          <w:lang w:val="en-US"/>
        </w:rPr>
        <w:t>Ibid.</w:t>
      </w:r>
      <w:r w:rsidRPr="002C7617">
        <w:rPr>
          <w:lang w:val="en-US"/>
        </w:rPr>
        <w:t xml:space="preserve">, </w:t>
      </w:r>
      <w:r>
        <w:t>σ</w:t>
      </w:r>
      <w:r>
        <w:rPr>
          <w:lang w:val="en-US"/>
        </w:rPr>
        <w:t xml:space="preserve">. </w:t>
      </w:r>
      <w:r w:rsidRPr="003C0614">
        <w:rPr>
          <w:lang w:val="en-US"/>
        </w:rPr>
        <w:t>2</w:t>
      </w:r>
      <w:r>
        <w:rPr>
          <w:lang w:val="en-US"/>
        </w:rPr>
        <w:t>0</w:t>
      </w:r>
      <w:r w:rsidRPr="0067747C">
        <w:rPr>
          <w:lang w:val="en-US"/>
        </w:rPr>
        <w:t>7.</w:t>
      </w:r>
    </w:p>
  </w:footnote>
  <w:footnote w:id="102">
    <w:p w:rsidR="008D4F0C" w:rsidRPr="00957BE0" w:rsidRDefault="008D4F0C" w:rsidP="008D4F0C">
      <w:pPr>
        <w:pStyle w:val="FootnoteText"/>
        <w:rPr>
          <w:lang w:val="en-US"/>
        </w:rPr>
      </w:pPr>
      <w:r>
        <w:rPr>
          <w:rStyle w:val="FootnoteReference"/>
        </w:rPr>
        <w:footnoteRef/>
      </w:r>
      <w:r w:rsidRPr="00957BE0">
        <w:rPr>
          <w:lang w:val="en-US"/>
        </w:rPr>
        <w:t xml:space="preserve"> Letter ENV B3/AA/D(2008)23828.</w:t>
      </w:r>
    </w:p>
  </w:footnote>
  <w:footnote w:id="103">
    <w:p w:rsidR="008D4F0C" w:rsidRPr="00AF377C" w:rsidRDefault="008D4F0C" w:rsidP="008D4F0C">
      <w:pPr>
        <w:pStyle w:val="FootnoteText"/>
        <w:jc w:val="both"/>
        <w:rPr>
          <w:lang w:val="en-US"/>
        </w:rPr>
      </w:pPr>
      <w:r>
        <w:rPr>
          <w:rStyle w:val="FootnoteReference"/>
        </w:rPr>
        <w:footnoteRef/>
      </w:r>
      <w:r w:rsidRPr="008B254E">
        <w:rPr>
          <w:lang w:val="en-US"/>
        </w:rPr>
        <w:t xml:space="preserve"> </w:t>
      </w:r>
      <w:r w:rsidRPr="00501820">
        <w:rPr>
          <w:i/>
          <w:lang w:val="en-US"/>
        </w:rPr>
        <w:t>EFSA Panel on Genetically Modified Organisms (GMO)</w:t>
      </w:r>
      <w:r w:rsidRPr="00501820">
        <w:rPr>
          <w:lang w:val="en-US"/>
        </w:rPr>
        <w:t>: Guidance on the environmental risk assessment of genetically modified plants</w:t>
      </w:r>
      <w:r>
        <w:rPr>
          <w:lang w:val="en-US"/>
        </w:rPr>
        <w:t>. EFSA Journal 2010, 8(11): 1879.</w:t>
      </w:r>
      <w:r w:rsidRPr="00B7277A">
        <w:rPr>
          <w:lang w:val="en-US"/>
        </w:rPr>
        <w:t xml:space="preserve"> </w:t>
      </w:r>
      <w:r>
        <w:t>Διαθέσιμο</w:t>
      </w:r>
      <w:r w:rsidRPr="00B7277A">
        <w:rPr>
          <w:lang w:val="en-US"/>
        </w:rPr>
        <w:t xml:space="preserve"> </w:t>
      </w:r>
      <w:r>
        <w:t>στο</w:t>
      </w:r>
      <w:r w:rsidRPr="00B7277A">
        <w:rPr>
          <w:lang w:val="en-US"/>
        </w:rPr>
        <w:t xml:space="preserve">: </w:t>
      </w:r>
      <w:hyperlink r:id="rId14" w:history="1">
        <w:r w:rsidRPr="00A43687">
          <w:rPr>
            <w:rStyle w:val="Hyperlink"/>
            <w:lang w:val="en-US"/>
          </w:rPr>
          <w:t>www.efsa.europa.eu/efsajournal.htm</w:t>
        </w:r>
      </w:hyperlink>
      <w:r>
        <w:rPr>
          <w:lang w:val="en-US"/>
        </w:rPr>
        <w:t xml:space="preserve"> </w:t>
      </w:r>
    </w:p>
  </w:footnote>
  <w:footnote w:id="104">
    <w:p w:rsidR="008D4F0C" w:rsidRPr="00A23E27" w:rsidRDefault="008D4F0C" w:rsidP="008D4F0C">
      <w:pPr>
        <w:pStyle w:val="FootnoteText"/>
        <w:jc w:val="both"/>
      </w:pPr>
      <w:r>
        <w:rPr>
          <w:rStyle w:val="FootnoteReference"/>
        </w:rPr>
        <w:footnoteRef/>
      </w:r>
      <w:r w:rsidRPr="00A23E27">
        <w:rPr>
          <w:lang w:val="en-US"/>
        </w:rPr>
        <w:t xml:space="preserve"> </w:t>
      </w:r>
      <w:r w:rsidRPr="00A23E27">
        <w:rPr>
          <w:i/>
          <w:lang w:val="en-US"/>
        </w:rPr>
        <w:t>ENSSER</w:t>
      </w:r>
      <w:r>
        <w:rPr>
          <w:i/>
          <w:lang w:val="en-US"/>
        </w:rPr>
        <w:t xml:space="preserve">, </w:t>
      </w:r>
      <w:r>
        <w:rPr>
          <w:lang w:val="en-US"/>
        </w:rPr>
        <w:t>Comments on the EFSA Guidance on the environmental risk assessment of genetically modified organisms</w:t>
      </w:r>
      <w:r w:rsidRPr="00A23E27">
        <w:rPr>
          <w:lang w:val="en-US"/>
        </w:rPr>
        <w:t xml:space="preserve">. </w:t>
      </w:r>
      <w:r>
        <w:t xml:space="preserve">Διαθέσιμο στο: </w:t>
      </w:r>
      <w:hyperlink r:id="rId15" w:history="1">
        <w:r w:rsidRPr="00A43687">
          <w:rPr>
            <w:rStyle w:val="Hyperlink"/>
            <w:lang w:val="en-US"/>
          </w:rPr>
          <w:t>http</w:t>
        </w:r>
        <w:r w:rsidRPr="00A23E27">
          <w:rPr>
            <w:rStyle w:val="Hyperlink"/>
          </w:rPr>
          <w:t>://</w:t>
        </w:r>
        <w:r w:rsidRPr="00A43687">
          <w:rPr>
            <w:rStyle w:val="Hyperlink"/>
            <w:lang w:val="en-US"/>
          </w:rPr>
          <w:t>www</w:t>
        </w:r>
        <w:r w:rsidRPr="00A23E27">
          <w:rPr>
            <w:rStyle w:val="Hyperlink"/>
          </w:rPr>
          <w:t>.</w:t>
        </w:r>
        <w:r w:rsidRPr="00A43687">
          <w:rPr>
            <w:rStyle w:val="Hyperlink"/>
            <w:lang w:val="en-US"/>
          </w:rPr>
          <w:t>ensser</w:t>
        </w:r>
        <w:r w:rsidRPr="00A23E27">
          <w:rPr>
            <w:rStyle w:val="Hyperlink"/>
          </w:rPr>
          <w:t>.</w:t>
        </w:r>
        <w:r w:rsidRPr="00A43687">
          <w:rPr>
            <w:rStyle w:val="Hyperlink"/>
            <w:lang w:val="en-US"/>
          </w:rPr>
          <w:t>org</w:t>
        </w:r>
      </w:hyperlink>
      <w:r w:rsidRPr="00A23E27">
        <w:t xml:space="preserve"> </w:t>
      </w:r>
      <w:r>
        <w:t>Οι παρατηρήσεις που ακολουθούν στηρίζονται σε αυτά τα σχόλια.</w:t>
      </w:r>
    </w:p>
  </w:footnote>
  <w:footnote w:id="105">
    <w:p w:rsidR="008D4F0C" w:rsidRPr="00501820" w:rsidRDefault="008D4F0C" w:rsidP="008D4F0C">
      <w:pPr>
        <w:pStyle w:val="FootnoteText"/>
        <w:jc w:val="both"/>
        <w:rPr>
          <w:lang w:val="en-US"/>
        </w:rPr>
      </w:pPr>
      <w:r>
        <w:rPr>
          <w:rStyle w:val="FootnoteReference"/>
        </w:rPr>
        <w:footnoteRef/>
      </w:r>
      <w:r w:rsidRPr="00594157">
        <w:rPr>
          <w:lang w:val="en-US"/>
        </w:rPr>
        <w:t xml:space="preserve"> </w:t>
      </w:r>
      <w:r w:rsidRPr="00501820">
        <w:rPr>
          <w:i/>
          <w:lang w:val="en-US"/>
        </w:rPr>
        <w:t>EFSA Panel on Genetically Modified Organisms (GMO):</w:t>
      </w:r>
      <w:r w:rsidRPr="00501820">
        <w:rPr>
          <w:lang w:val="en-US"/>
        </w:rPr>
        <w:t xml:space="preserve"> Guidance on the environmental risk assessment of genetically modified plants, </w:t>
      </w:r>
      <w:r>
        <w:t>ό</w:t>
      </w:r>
      <w:r w:rsidRPr="00501820">
        <w:rPr>
          <w:lang w:val="en-US"/>
        </w:rPr>
        <w:t>.</w:t>
      </w:r>
      <w:r>
        <w:t>π</w:t>
      </w:r>
      <w:r w:rsidRPr="00501820">
        <w:rPr>
          <w:lang w:val="en-US"/>
        </w:rPr>
        <w:t xml:space="preserve">., </w:t>
      </w:r>
      <w:r>
        <w:t>παράγραφος</w:t>
      </w:r>
      <w:r w:rsidRPr="00501820">
        <w:rPr>
          <w:lang w:val="en-US"/>
        </w:rPr>
        <w:t xml:space="preserve"> 2.1.</w:t>
      </w:r>
    </w:p>
  </w:footnote>
  <w:footnote w:id="106">
    <w:p w:rsidR="008D4F0C" w:rsidRPr="00501820" w:rsidRDefault="008D4F0C" w:rsidP="008D4F0C">
      <w:pPr>
        <w:pStyle w:val="FootnoteText"/>
      </w:pPr>
      <w:r>
        <w:rPr>
          <w:rStyle w:val="FootnoteReference"/>
        </w:rPr>
        <w:footnoteRef/>
      </w:r>
      <w:r w:rsidRPr="00501820">
        <w:t xml:space="preserve"> </w:t>
      </w:r>
      <w:r>
        <w:t xml:space="preserve">Αναλυτικά για την ουσιαστική ισοδυναμία, βλ., </w:t>
      </w:r>
      <w:r>
        <w:rPr>
          <w:lang w:val="en-US"/>
        </w:rPr>
        <w:t>supra</w:t>
      </w:r>
      <w:r w:rsidRPr="00501820">
        <w:t>.</w:t>
      </w:r>
    </w:p>
  </w:footnote>
  <w:footnote w:id="107">
    <w:p w:rsidR="008D4F0C" w:rsidRPr="00514AB3" w:rsidRDefault="008D4F0C" w:rsidP="008D4F0C">
      <w:pPr>
        <w:pStyle w:val="FootnoteText"/>
      </w:pPr>
      <w:r>
        <w:rPr>
          <w:rStyle w:val="FootnoteReference"/>
        </w:rPr>
        <w:footnoteRef/>
      </w:r>
      <w:r w:rsidRPr="00514AB3">
        <w:t xml:space="preserve"> </w:t>
      </w:r>
      <w:r>
        <w:t>Βλ., Οδηγία 2001/18/ΕΚ Παράρτημα ΙΙ, σ. 19-20.</w:t>
      </w:r>
    </w:p>
  </w:footnote>
  <w:footnote w:id="108">
    <w:p w:rsidR="008D4F0C" w:rsidRPr="003949DF" w:rsidRDefault="008D4F0C" w:rsidP="008D4F0C">
      <w:pPr>
        <w:pStyle w:val="FootnoteText"/>
        <w:jc w:val="both"/>
      </w:pPr>
      <w:r>
        <w:rPr>
          <w:rStyle w:val="FootnoteReference"/>
        </w:rPr>
        <w:footnoteRef/>
      </w:r>
      <w:r w:rsidRPr="004F55DE">
        <w:t xml:space="preserve"> </w:t>
      </w:r>
      <w:r>
        <w:t xml:space="preserve">Π.χ., ο </w:t>
      </w:r>
      <w:r>
        <w:rPr>
          <w:lang w:val="en-US"/>
        </w:rPr>
        <w:t>Harry</w:t>
      </w:r>
      <w:r w:rsidRPr="004F55DE">
        <w:t xml:space="preserve"> </w:t>
      </w:r>
      <w:r>
        <w:rPr>
          <w:lang w:val="en-US"/>
        </w:rPr>
        <w:t>Kuiper</w:t>
      </w:r>
      <w:r w:rsidRPr="004F55DE">
        <w:t xml:space="preserve"> </w:t>
      </w:r>
      <w:r>
        <w:t xml:space="preserve">ήταν μεταξύ των επιστημόνων που υποστήριξαν ότι η συγκριτική αξιολόγηση ασφάλειας είναι στον πυρήνα της ίδια με την ουσιαστική ισοδυναμία και πρέπει να αποτελεί βασική αρχή της αξιολόγησης των ΓΤΟ. Να σημειωθεί, ωστόσο, ότι ο </w:t>
      </w:r>
      <w:r>
        <w:rPr>
          <w:lang w:val="en-US"/>
        </w:rPr>
        <w:t>Harry</w:t>
      </w:r>
      <w:r w:rsidRPr="004F55DE">
        <w:t xml:space="preserve"> </w:t>
      </w:r>
      <w:r>
        <w:rPr>
          <w:lang w:val="en-US"/>
        </w:rPr>
        <w:t>Kuiper</w:t>
      </w:r>
      <w:r>
        <w:t xml:space="preserve"> εργάστηκε για πολλά χρόνια στο </w:t>
      </w:r>
      <w:r>
        <w:rPr>
          <w:lang w:val="en-US"/>
        </w:rPr>
        <w:t>International</w:t>
      </w:r>
      <w:r w:rsidRPr="0041288A">
        <w:t xml:space="preserve"> </w:t>
      </w:r>
      <w:r>
        <w:rPr>
          <w:lang w:val="en-US"/>
        </w:rPr>
        <w:t>Life</w:t>
      </w:r>
      <w:r w:rsidRPr="0041288A">
        <w:t xml:space="preserve"> </w:t>
      </w:r>
      <w:r>
        <w:rPr>
          <w:lang w:val="en-US"/>
        </w:rPr>
        <w:t>Sciences</w:t>
      </w:r>
      <w:r w:rsidRPr="0041288A">
        <w:t xml:space="preserve"> </w:t>
      </w:r>
      <w:r>
        <w:rPr>
          <w:lang w:val="en-US"/>
        </w:rPr>
        <w:t>Institute</w:t>
      </w:r>
      <w:r w:rsidRPr="0041288A">
        <w:t xml:space="preserve"> </w:t>
      </w:r>
      <w:r>
        <w:t>το οποίο χρηματοδοτείται από τις μεγάλες εταιρίες βιοτεχνολογίας</w:t>
      </w:r>
      <w:r w:rsidRPr="003949DF">
        <w:t xml:space="preserve"> </w:t>
      </w:r>
      <w:r>
        <w:t xml:space="preserve">για να διεξάγει μελέτες για λογαριασμό τους, όπως </w:t>
      </w:r>
      <w:r>
        <w:rPr>
          <w:lang w:val="en-US"/>
        </w:rPr>
        <w:t>BASF</w:t>
      </w:r>
      <w:r w:rsidRPr="0041288A">
        <w:t xml:space="preserve">, </w:t>
      </w:r>
      <w:r>
        <w:rPr>
          <w:lang w:val="en-US"/>
        </w:rPr>
        <w:t>Bayer</w:t>
      </w:r>
      <w:r w:rsidRPr="0041288A">
        <w:t xml:space="preserve"> </w:t>
      </w:r>
      <w:r>
        <w:rPr>
          <w:lang w:val="en-US"/>
        </w:rPr>
        <w:t>CropSciences</w:t>
      </w:r>
      <w:r w:rsidRPr="0041288A">
        <w:t xml:space="preserve">, </w:t>
      </w:r>
      <w:r>
        <w:rPr>
          <w:lang w:val="en-US"/>
        </w:rPr>
        <w:t>Dow</w:t>
      </w:r>
      <w:r w:rsidRPr="0041288A">
        <w:t xml:space="preserve"> </w:t>
      </w:r>
      <w:r>
        <w:rPr>
          <w:lang w:val="en-US"/>
        </w:rPr>
        <w:t>AgroSciences</w:t>
      </w:r>
      <w:r w:rsidRPr="0041288A">
        <w:t xml:space="preserve">, </w:t>
      </w:r>
      <w:r>
        <w:rPr>
          <w:lang w:val="en-US"/>
        </w:rPr>
        <w:t>Monsanto</w:t>
      </w:r>
      <w:r w:rsidRPr="0041288A">
        <w:t xml:space="preserve">, </w:t>
      </w:r>
      <w:r>
        <w:rPr>
          <w:lang w:val="en-US"/>
        </w:rPr>
        <w:t>Pioneer</w:t>
      </w:r>
      <w:r w:rsidRPr="0041288A">
        <w:t xml:space="preserve"> </w:t>
      </w:r>
      <w:r>
        <w:rPr>
          <w:lang w:val="en-US"/>
        </w:rPr>
        <w:t>HiBred</w:t>
      </w:r>
      <w:r w:rsidRPr="0041288A">
        <w:t>/</w:t>
      </w:r>
      <w:r>
        <w:rPr>
          <w:lang w:val="en-US"/>
        </w:rPr>
        <w:t>Dupont</w:t>
      </w:r>
      <w:r>
        <w:t xml:space="preserve"> και </w:t>
      </w:r>
      <w:r>
        <w:rPr>
          <w:lang w:val="en-US"/>
        </w:rPr>
        <w:t>Syngenta</w:t>
      </w:r>
      <w:r w:rsidRPr="0041288A">
        <w:t xml:space="preserve"> </w:t>
      </w:r>
      <w:r>
        <w:t>κ.ά.</w:t>
      </w:r>
    </w:p>
    <w:p w:rsidR="008D4F0C" w:rsidRPr="00810E10" w:rsidRDefault="008D4F0C" w:rsidP="008D4F0C">
      <w:pPr>
        <w:pStyle w:val="FootnoteText"/>
        <w:jc w:val="both"/>
      </w:pPr>
      <w:r w:rsidRPr="00810E10">
        <w:t>(</w:t>
      </w:r>
      <w:hyperlink r:id="rId16" w:history="1">
        <w:r w:rsidRPr="00A43687">
          <w:rPr>
            <w:rStyle w:val="Hyperlink"/>
            <w:lang w:val="en-US"/>
          </w:rPr>
          <w:t>http</w:t>
        </w:r>
        <w:r w:rsidRPr="00810E10">
          <w:rPr>
            <w:rStyle w:val="Hyperlink"/>
          </w:rPr>
          <w:t>://</w:t>
        </w:r>
        <w:r w:rsidRPr="00A43687">
          <w:rPr>
            <w:rStyle w:val="Hyperlink"/>
            <w:lang w:val="en-US"/>
          </w:rPr>
          <w:t>www</w:t>
        </w:r>
        <w:r w:rsidRPr="00810E10">
          <w:rPr>
            <w:rStyle w:val="Hyperlink"/>
          </w:rPr>
          <w:t>.</w:t>
        </w:r>
        <w:r w:rsidRPr="00A43687">
          <w:rPr>
            <w:rStyle w:val="Hyperlink"/>
            <w:lang w:val="en-US"/>
          </w:rPr>
          <w:t>ilsi</w:t>
        </w:r>
        <w:r w:rsidRPr="00810E10">
          <w:rPr>
            <w:rStyle w:val="Hyperlink"/>
          </w:rPr>
          <w:t>.</w:t>
        </w:r>
        <w:r w:rsidRPr="00A43687">
          <w:rPr>
            <w:rStyle w:val="Hyperlink"/>
            <w:lang w:val="en-US"/>
          </w:rPr>
          <w:t>org</w:t>
        </w:r>
        <w:r w:rsidRPr="00810E10">
          <w:rPr>
            <w:rStyle w:val="Hyperlink"/>
          </w:rPr>
          <w:t>/</w:t>
        </w:r>
        <w:r w:rsidRPr="00A43687">
          <w:rPr>
            <w:rStyle w:val="Hyperlink"/>
            <w:lang w:val="en-US"/>
          </w:rPr>
          <w:t>FoodBioTech</w:t>
        </w:r>
        <w:r w:rsidRPr="00810E10">
          <w:rPr>
            <w:rStyle w:val="Hyperlink"/>
          </w:rPr>
          <w:t>/</w:t>
        </w:r>
        <w:r w:rsidRPr="00A43687">
          <w:rPr>
            <w:rStyle w:val="Hyperlink"/>
            <w:lang w:val="en-US"/>
          </w:rPr>
          <w:t>Pages</w:t>
        </w:r>
        <w:r w:rsidRPr="00810E10">
          <w:rPr>
            <w:rStyle w:val="Hyperlink"/>
          </w:rPr>
          <w:t>/</w:t>
        </w:r>
        <w:r w:rsidRPr="00A43687">
          <w:rPr>
            <w:rStyle w:val="Hyperlink"/>
            <w:lang w:val="en-US"/>
          </w:rPr>
          <w:t>NutritionalandSafetyAssessments</w:t>
        </w:r>
        <w:r w:rsidRPr="00810E10">
          <w:rPr>
            <w:rStyle w:val="Hyperlink"/>
          </w:rPr>
          <w:t>.</w:t>
        </w:r>
        <w:r w:rsidRPr="00A43687">
          <w:rPr>
            <w:rStyle w:val="Hyperlink"/>
            <w:lang w:val="en-US"/>
          </w:rPr>
          <w:t>aspx</w:t>
        </w:r>
      </w:hyperlink>
      <w:r w:rsidRPr="00810E10">
        <w:t xml:space="preserve">) </w:t>
      </w:r>
      <w:r>
        <w:t>Ο</w:t>
      </w:r>
      <w:r w:rsidRPr="00810E10">
        <w:t xml:space="preserve"> </w:t>
      </w:r>
      <w:r>
        <w:rPr>
          <w:lang w:val="en-US"/>
        </w:rPr>
        <w:t>Harry</w:t>
      </w:r>
      <w:r w:rsidRPr="00810E10">
        <w:t xml:space="preserve"> </w:t>
      </w:r>
      <w:r>
        <w:rPr>
          <w:lang w:val="en-US"/>
        </w:rPr>
        <w:t>Kuiper</w:t>
      </w:r>
      <w:r w:rsidRPr="00810E10">
        <w:t xml:space="preserve"> </w:t>
      </w:r>
      <w:r>
        <w:t xml:space="preserve">ήταν ο πρόεδρος της ομάδας εργασίας της </w:t>
      </w:r>
      <w:r>
        <w:rPr>
          <w:lang w:val="en-US"/>
        </w:rPr>
        <w:t>EFSA</w:t>
      </w:r>
      <w:r>
        <w:t xml:space="preserve"> που συνέταξε τις κατευθυντήριες γραμμές.</w:t>
      </w:r>
    </w:p>
  </w:footnote>
  <w:footnote w:id="109">
    <w:p w:rsidR="008D4F0C" w:rsidRPr="00EF1C15" w:rsidRDefault="008D4F0C" w:rsidP="008D4F0C">
      <w:pPr>
        <w:pStyle w:val="FootnoteText"/>
        <w:jc w:val="both"/>
        <w:rPr>
          <w:lang w:val="en-US"/>
        </w:rPr>
      </w:pPr>
      <w:r>
        <w:rPr>
          <w:rStyle w:val="FootnoteReference"/>
        </w:rPr>
        <w:footnoteRef/>
      </w:r>
      <w:r w:rsidRPr="00EF1C15">
        <w:rPr>
          <w:lang w:val="en-US"/>
        </w:rPr>
        <w:t xml:space="preserve"> </w:t>
      </w:r>
      <w:r>
        <w:rPr>
          <w:i/>
          <w:lang w:val="en-US"/>
        </w:rPr>
        <w:t>J.D. Graham, S. Hsia</w:t>
      </w:r>
      <w:r>
        <w:rPr>
          <w:lang w:val="en-US"/>
        </w:rPr>
        <w:t xml:space="preserve">, “Europe’s precautionary principle: promise and pitfalls”, Journal of Risk Research, Vol. 5, 2002, </w:t>
      </w:r>
      <w:r>
        <w:t>σ</w:t>
      </w:r>
      <w:r w:rsidRPr="00EF1C15">
        <w:rPr>
          <w:lang w:val="en-US"/>
        </w:rPr>
        <w:t xml:space="preserve">. 371-390. </w:t>
      </w:r>
    </w:p>
  </w:footnote>
  <w:footnote w:id="110">
    <w:p w:rsidR="008D4F0C" w:rsidRPr="00B8248E" w:rsidRDefault="008D4F0C" w:rsidP="008D4F0C">
      <w:pPr>
        <w:pStyle w:val="FootnoteText"/>
        <w:jc w:val="both"/>
        <w:rPr>
          <w:lang w:val="en-US"/>
        </w:rPr>
      </w:pPr>
      <w:r>
        <w:rPr>
          <w:rStyle w:val="FootnoteReference"/>
        </w:rPr>
        <w:footnoteRef/>
      </w:r>
      <w:r w:rsidRPr="00B8248E">
        <w:rPr>
          <w:lang w:val="en-US"/>
        </w:rPr>
        <w:t xml:space="preserve"> </w:t>
      </w:r>
      <w:r>
        <w:rPr>
          <w:i/>
          <w:lang w:val="en-US"/>
        </w:rPr>
        <w:t>N. De Sadeleer</w:t>
      </w:r>
      <w:r>
        <w:rPr>
          <w:lang w:val="en-US"/>
        </w:rPr>
        <w:t xml:space="preserve">, Environmental Principles: From Political Slogans to Legal Rules, Oxford UK, Oxford University Press, 2002, </w:t>
      </w:r>
      <w:r>
        <w:t>σ</w:t>
      </w:r>
      <w:r w:rsidRPr="00B8248E">
        <w:rPr>
          <w:lang w:val="en-US"/>
        </w:rPr>
        <w:t>. 92.</w:t>
      </w:r>
    </w:p>
  </w:footnote>
  <w:footnote w:id="111">
    <w:p w:rsidR="008D4F0C" w:rsidRPr="00B8248E" w:rsidRDefault="008D4F0C" w:rsidP="008D4F0C">
      <w:pPr>
        <w:pStyle w:val="FootnoteText"/>
        <w:jc w:val="both"/>
        <w:rPr>
          <w:lang w:val="en-US"/>
        </w:rPr>
      </w:pPr>
      <w:r>
        <w:rPr>
          <w:rStyle w:val="FootnoteReference"/>
        </w:rPr>
        <w:footnoteRef/>
      </w:r>
      <w:r w:rsidRPr="00B8248E">
        <w:rPr>
          <w:lang w:val="en-US"/>
        </w:rPr>
        <w:t xml:space="preserve"> </w:t>
      </w:r>
      <w:r>
        <w:rPr>
          <w:i/>
          <w:lang w:val="en-US"/>
        </w:rPr>
        <w:t>L. Levidow, Car, Wield</w:t>
      </w:r>
      <w:r>
        <w:rPr>
          <w:lang w:val="en-US"/>
        </w:rPr>
        <w:t xml:space="preserve">, “European Union regulation of agri-biotechnology: Precautionary links between science, expertise and policy”, Science and Public Policy, Vol. 32, 2005, </w:t>
      </w:r>
      <w:r>
        <w:t>σ</w:t>
      </w:r>
      <w:r w:rsidRPr="00B8248E">
        <w:rPr>
          <w:lang w:val="en-US"/>
        </w:rPr>
        <w:t xml:space="preserve">. 261 </w:t>
      </w:r>
      <w:r>
        <w:t>επ</w:t>
      </w:r>
      <w:r w:rsidRPr="00B8248E">
        <w:rPr>
          <w:lang w:val="en-US"/>
        </w:rPr>
        <w:t>.</w:t>
      </w:r>
    </w:p>
  </w:footnote>
  <w:footnote w:id="112">
    <w:p w:rsidR="008D4F0C" w:rsidRPr="00384CAF" w:rsidRDefault="008D4F0C" w:rsidP="008D4F0C">
      <w:pPr>
        <w:pStyle w:val="FootnoteText"/>
        <w:jc w:val="both"/>
      </w:pPr>
      <w:r>
        <w:rPr>
          <w:rStyle w:val="FootnoteReference"/>
        </w:rPr>
        <w:footnoteRef/>
      </w:r>
      <w:r w:rsidRPr="005536C6">
        <w:t xml:space="preserve"> </w:t>
      </w:r>
      <w:r>
        <w:rPr>
          <w:i/>
          <w:lang w:val="en-US"/>
        </w:rPr>
        <w:t>J</w:t>
      </w:r>
      <w:r w:rsidRPr="005536C6">
        <w:rPr>
          <w:i/>
        </w:rPr>
        <w:t xml:space="preserve">. </w:t>
      </w:r>
      <w:r>
        <w:rPr>
          <w:i/>
          <w:lang w:val="en-US"/>
        </w:rPr>
        <w:t>Holder</w:t>
      </w:r>
      <w:r w:rsidRPr="005536C6">
        <w:rPr>
          <w:i/>
        </w:rPr>
        <w:t xml:space="preserve">, </w:t>
      </w:r>
      <w:r>
        <w:rPr>
          <w:i/>
          <w:lang w:val="en-US"/>
        </w:rPr>
        <w:t>M</w:t>
      </w:r>
      <w:r w:rsidRPr="005536C6">
        <w:rPr>
          <w:i/>
        </w:rPr>
        <w:t xml:space="preserve">. </w:t>
      </w:r>
      <w:r>
        <w:rPr>
          <w:i/>
          <w:lang w:val="en-US"/>
        </w:rPr>
        <w:t>Lee</w:t>
      </w:r>
      <w:r w:rsidRPr="005536C6">
        <w:t xml:space="preserve">, </w:t>
      </w:r>
      <w:r>
        <w:rPr>
          <w:lang w:val="en-US"/>
        </w:rPr>
        <w:t>Environmental</w:t>
      </w:r>
      <w:r w:rsidRPr="005536C6">
        <w:t xml:space="preserve"> </w:t>
      </w:r>
      <w:r>
        <w:rPr>
          <w:lang w:val="en-US"/>
        </w:rPr>
        <w:t>Protection</w:t>
      </w:r>
      <w:r w:rsidRPr="005536C6">
        <w:t xml:space="preserve">, </w:t>
      </w:r>
      <w:r>
        <w:rPr>
          <w:lang w:val="en-US"/>
        </w:rPr>
        <w:t>Law</w:t>
      </w:r>
      <w:r w:rsidRPr="005536C6">
        <w:t xml:space="preserve"> </w:t>
      </w:r>
      <w:r>
        <w:rPr>
          <w:lang w:val="en-US"/>
        </w:rPr>
        <w:t>and</w:t>
      </w:r>
      <w:r w:rsidRPr="005536C6">
        <w:t xml:space="preserve"> </w:t>
      </w:r>
      <w:r>
        <w:rPr>
          <w:lang w:val="en-US"/>
        </w:rPr>
        <w:t>Policy</w:t>
      </w:r>
      <w:r w:rsidRPr="005536C6">
        <w:t xml:space="preserve">, </w:t>
      </w:r>
      <w:r>
        <w:rPr>
          <w:lang w:val="en-US"/>
        </w:rPr>
        <w:t>Cambridge</w:t>
      </w:r>
      <w:r w:rsidRPr="005536C6">
        <w:t xml:space="preserve"> </w:t>
      </w:r>
      <w:r>
        <w:rPr>
          <w:lang w:val="en-US"/>
        </w:rPr>
        <w:t>UK</w:t>
      </w:r>
      <w:r w:rsidRPr="005536C6">
        <w:t xml:space="preserve">, </w:t>
      </w:r>
      <w:r>
        <w:rPr>
          <w:lang w:val="en-US"/>
        </w:rPr>
        <w:t>Cambridge</w:t>
      </w:r>
      <w:r w:rsidRPr="005536C6">
        <w:t xml:space="preserve"> </w:t>
      </w:r>
      <w:r>
        <w:rPr>
          <w:lang w:val="en-US"/>
        </w:rPr>
        <w:t>University</w:t>
      </w:r>
      <w:r w:rsidRPr="005536C6">
        <w:t xml:space="preserve"> </w:t>
      </w:r>
      <w:r>
        <w:rPr>
          <w:lang w:val="en-US"/>
        </w:rPr>
        <w:t>Press</w:t>
      </w:r>
      <w:r w:rsidRPr="005536C6">
        <w:t xml:space="preserve">, 2007, </w:t>
      </w:r>
      <w:r>
        <w:t>σ</w:t>
      </w:r>
      <w:r w:rsidRPr="005536C6">
        <w:t>. 29 (</w:t>
      </w:r>
      <w:r>
        <w:t>οι</w:t>
      </w:r>
      <w:r w:rsidRPr="005536C6">
        <w:t xml:space="preserve"> </w:t>
      </w:r>
      <w:r>
        <w:t>οποίες</w:t>
      </w:r>
      <w:r w:rsidRPr="005536C6">
        <w:t xml:space="preserve"> </w:t>
      </w:r>
      <w:r>
        <w:t>τονίζουν</w:t>
      </w:r>
      <w:r w:rsidRPr="005536C6">
        <w:t xml:space="preserve"> </w:t>
      </w:r>
      <w:r>
        <w:t>ότι</w:t>
      </w:r>
      <w:r w:rsidRPr="005536C6">
        <w:t xml:space="preserve"> </w:t>
      </w:r>
      <w:r>
        <w:t>η</w:t>
      </w:r>
      <w:r w:rsidRPr="005536C6">
        <w:t xml:space="preserve"> </w:t>
      </w:r>
      <w:r>
        <w:t>αρχή</w:t>
      </w:r>
      <w:r w:rsidRPr="005536C6">
        <w:t xml:space="preserve"> </w:t>
      </w:r>
      <w:r>
        <w:t>της</w:t>
      </w:r>
      <w:r w:rsidRPr="005536C6">
        <w:t xml:space="preserve"> </w:t>
      </w:r>
      <w:r>
        <w:t>προφύλαξης,</w:t>
      </w:r>
      <w:r w:rsidRPr="005536C6">
        <w:t xml:space="preserve"> </w:t>
      </w:r>
      <w:r>
        <w:t>περισσότερο</w:t>
      </w:r>
      <w:r w:rsidRPr="005536C6">
        <w:t xml:space="preserve"> </w:t>
      </w:r>
      <w:r>
        <w:t>από</w:t>
      </w:r>
      <w:r w:rsidRPr="005536C6">
        <w:t xml:space="preserve"> </w:t>
      </w:r>
      <w:r>
        <w:t>το</w:t>
      </w:r>
      <w:r w:rsidRPr="005536C6">
        <w:t xml:space="preserve"> </w:t>
      </w:r>
      <w:r>
        <w:t>να</w:t>
      </w:r>
      <w:r w:rsidRPr="005536C6">
        <w:t xml:space="preserve"> </w:t>
      </w:r>
      <w:r>
        <w:t>μας</w:t>
      </w:r>
      <w:r w:rsidRPr="005536C6">
        <w:t xml:space="preserve"> </w:t>
      </w:r>
      <w:r>
        <w:t>καθοδηγεί</w:t>
      </w:r>
      <w:r w:rsidRPr="005536C6">
        <w:t xml:space="preserve"> </w:t>
      </w:r>
      <w:r>
        <w:t>τι</w:t>
      </w:r>
      <w:r w:rsidRPr="005536C6">
        <w:t xml:space="preserve"> </w:t>
      </w:r>
      <w:r>
        <w:t>πρέπει να πράξουμε,</w:t>
      </w:r>
      <w:r w:rsidRPr="005536C6">
        <w:t xml:space="preserve"> </w:t>
      </w:r>
      <w:r>
        <w:t>επαναπροσδιορίζει</w:t>
      </w:r>
      <w:r w:rsidRPr="005536C6">
        <w:t xml:space="preserve"> </w:t>
      </w:r>
      <w:r>
        <w:t>τους</w:t>
      </w:r>
      <w:r w:rsidRPr="005536C6">
        <w:t xml:space="preserve"> </w:t>
      </w:r>
      <w:r>
        <w:t>τρόπους με τους οποίους η δημόσια διοίκηση λαμβάνει τις αποφάσεις και μας ωθεί πέραν της καθαρά τεχνικής προσέγγισης του κινδύνου).</w:t>
      </w:r>
      <w:r w:rsidRPr="004B518C">
        <w:t xml:space="preserve"> </w:t>
      </w:r>
      <w:r w:rsidRPr="00735D19">
        <w:rPr>
          <w:i/>
          <w:lang w:val="en-US"/>
        </w:rPr>
        <w:t>P. Sandin</w:t>
      </w:r>
      <w:r w:rsidRPr="00735D19">
        <w:rPr>
          <w:lang w:val="en-US"/>
        </w:rPr>
        <w:t xml:space="preserve">, “Dimensions of the Precautionary Principle”, Human and Ecological Risk Assessment, Vol. 5, 1999, </w:t>
      </w:r>
      <w:r w:rsidRPr="00735D19">
        <w:t>σ</w:t>
      </w:r>
      <w:r w:rsidRPr="00735D19">
        <w:rPr>
          <w:lang w:val="en-GB"/>
        </w:rPr>
        <w:t xml:space="preserve">. 889. </w:t>
      </w:r>
      <w:r w:rsidRPr="00735D19">
        <w:rPr>
          <w:i/>
          <w:lang w:val="en-GB"/>
        </w:rPr>
        <w:t>P</w:t>
      </w:r>
      <w:r w:rsidRPr="00735D19">
        <w:rPr>
          <w:i/>
          <w:lang w:val="en-US"/>
        </w:rPr>
        <w:t>. Sandin, M. Peterson, S.O. Hanson, C. Ruden, A. Juthe</w:t>
      </w:r>
      <w:r w:rsidRPr="00735D19">
        <w:rPr>
          <w:lang w:val="en-US"/>
        </w:rPr>
        <w:t>, “Five Charges Against the Precautionary Principle”, Journal of Risk Research, Vol. 5, 2002,</w:t>
      </w:r>
      <w:r w:rsidRPr="00735D19">
        <w:rPr>
          <w:lang w:val="en-GB"/>
        </w:rPr>
        <w:t xml:space="preserve"> </w:t>
      </w:r>
      <w:r w:rsidRPr="00735D19">
        <w:t>σ</w:t>
      </w:r>
      <w:r w:rsidRPr="00735D19">
        <w:rPr>
          <w:lang w:val="en-GB"/>
        </w:rPr>
        <w:t xml:space="preserve">. 290. </w:t>
      </w:r>
      <w:r w:rsidRPr="00735D19">
        <w:rPr>
          <w:lang w:val="en-US"/>
        </w:rPr>
        <w:t xml:space="preserve"> </w:t>
      </w:r>
      <w:r>
        <w:rPr>
          <w:i/>
        </w:rPr>
        <w:t>Γ. Μπάλια</w:t>
      </w:r>
      <w:r>
        <w:t>, Η αρχή της προφύλαξης στο διεθνές, κοινοτικό και συγκριτικό δίκαιο, Αθήνα-Κομοτηνή, εκδ. Αντ</w:t>
      </w:r>
      <w:r w:rsidRPr="004B518C">
        <w:t>.</w:t>
      </w:r>
      <w:r>
        <w:t>Ν</w:t>
      </w:r>
      <w:r w:rsidRPr="004B518C">
        <w:t xml:space="preserve">. </w:t>
      </w:r>
      <w:r>
        <w:t>Σάκκουλα</w:t>
      </w:r>
      <w:r w:rsidRPr="004B518C">
        <w:t xml:space="preserve">, 2005, </w:t>
      </w:r>
      <w:r>
        <w:t>σ</w:t>
      </w:r>
      <w:r w:rsidRPr="004B518C">
        <w:t>.</w:t>
      </w:r>
      <w:r>
        <w:t xml:space="preserve"> 120-121</w:t>
      </w:r>
      <w:r w:rsidRPr="004B518C">
        <w:t xml:space="preserve"> </w:t>
      </w:r>
      <w:r>
        <w:t xml:space="preserve">(όπου επισημαίνεται ότι η εν λόγω αρχή επιφέρει αλλαγή στον τρόπο αξιολόγησης και λήψης της απόφασης). </w:t>
      </w:r>
      <w:r w:rsidRPr="00236AB2">
        <w:rPr>
          <w:i/>
          <w:lang w:val="en-GB"/>
        </w:rPr>
        <w:t>P</w:t>
      </w:r>
      <w:r w:rsidRPr="00384CAF">
        <w:rPr>
          <w:i/>
        </w:rPr>
        <w:t xml:space="preserve">. </w:t>
      </w:r>
      <w:r w:rsidRPr="00236AB2">
        <w:rPr>
          <w:i/>
          <w:lang w:val="en-GB"/>
        </w:rPr>
        <w:t>Gilhuis</w:t>
      </w:r>
      <w:r w:rsidRPr="00384CAF">
        <w:t>, “</w:t>
      </w:r>
      <w:r w:rsidRPr="00236AB2">
        <w:rPr>
          <w:lang w:val="en-GB"/>
        </w:rPr>
        <w:t>The</w:t>
      </w:r>
      <w:r w:rsidRPr="00384CAF">
        <w:t xml:space="preserve"> </w:t>
      </w:r>
      <w:r w:rsidRPr="00236AB2">
        <w:rPr>
          <w:lang w:val="en-GB"/>
        </w:rPr>
        <w:t>consequences</w:t>
      </w:r>
      <w:r w:rsidRPr="00384CAF">
        <w:t xml:space="preserve"> </w:t>
      </w:r>
      <w:r w:rsidRPr="00236AB2">
        <w:rPr>
          <w:lang w:val="en-GB"/>
        </w:rPr>
        <w:t>of</w:t>
      </w:r>
      <w:r w:rsidRPr="00384CAF">
        <w:t xml:space="preserve"> </w:t>
      </w:r>
      <w:r w:rsidRPr="00236AB2">
        <w:rPr>
          <w:lang w:val="en-GB"/>
        </w:rPr>
        <w:t>introducing</w:t>
      </w:r>
      <w:r w:rsidRPr="00384CAF">
        <w:t xml:space="preserve"> </w:t>
      </w:r>
      <w:r w:rsidRPr="00236AB2">
        <w:rPr>
          <w:lang w:val="en-GB"/>
        </w:rPr>
        <w:t>environmental</w:t>
      </w:r>
      <w:r w:rsidRPr="00384CAF">
        <w:t xml:space="preserve"> </w:t>
      </w:r>
      <w:r w:rsidRPr="00236AB2">
        <w:rPr>
          <w:lang w:val="en-GB"/>
        </w:rPr>
        <w:t>law</w:t>
      </w:r>
      <w:r w:rsidRPr="00384CAF">
        <w:t xml:space="preserve"> </w:t>
      </w:r>
      <w:r w:rsidRPr="00236AB2">
        <w:rPr>
          <w:lang w:val="en-GB"/>
        </w:rPr>
        <w:t>principles</w:t>
      </w:r>
      <w:r w:rsidRPr="00384CAF">
        <w:t xml:space="preserve"> </w:t>
      </w:r>
      <w:r w:rsidRPr="00236AB2">
        <w:rPr>
          <w:lang w:val="en-GB"/>
        </w:rPr>
        <w:t>in</w:t>
      </w:r>
      <w:r w:rsidRPr="00384CAF">
        <w:t xml:space="preserve"> </w:t>
      </w:r>
      <w:r w:rsidRPr="00236AB2">
        <w:rPr>
          <w:lang w:val="en-GB"/>
        </w:rPr>
        <w:t>national</w:t>
      </w:r>
      <w:r w:rsidRPr="00384CAF">
        <w:t xml:space="preserve"> </w:t>
      </w:r>
      <w:r w:rsidRPr="00236AB2">
        <w:rPr>
          <w:lang w:val="en-GB"/>
        </w:rPr>
        <w:t>law</w:t>
      </w:r>
      <w:r w:rsidRPr="00384CAF">
        <w:t xml:space="preserve">”, </w:t>
      </w:r>
      <w:r w:rsidRPr="00236AB2">
        <w:rPr>
          <w:lang w:val="en-GB"/>
        </w:rPr>
        <w:t>in</w:t>
      </w:r>
      <w:r w:rsidRPr="00384CAF">
        <w:t xml:space="preserve">: </w:t>
      </w:r>
      <w:r>
        <w:rPr>
          <w:i/>
          <w:lang w:val="en-GB"/>
        </w:rPr>
        <w:t>M</w:t>
      </w:r>
      <w:r w:rsidRPr="00384CAF">
        <w:rPr>
          <w:i/>
        </w:rPr>
        <w:t xml:space="preserve">. </w:t>
      </w:r>
      <w:r>
        <w:rPr>
          <w:i/>
          <w:lang w:val="en-GB"/>
        </w:rPr>
        <w:t>Sheridan</w:t>
      </w:r>
      <w:r w:rsidRPr="00384CAF">
        <w:rPr>
          <w:i/>
        </w:rPr>
        <w:t xml:space="preserve">, </w:t>
      </w:r>
      <w:r>
        <w:rPr>
          <w:i/>
          <w:lang w:val="en-GB"/>
        </w:rPr>
        <w:t>L</w:t>
      </w:r>
      <w:r w:rsidRPr="00384CAF">
        <w:rPr>
          <w:i/>
        </w:rPr>
        <w:t xml:space="preserve">. </w:t>
      </w:r>
      <w:r>
        <w:rPr>
          <w:i/>
          <w:lang w:val="en-GB"/>
        </w:rPr>
        <w:t>Lavrysen</w:t>
      </w:r>
      <w:r w:rsidRPr="00384CAF">
        <w:rPr>
          <w:i/>
        </w:rPr>
        <w:t xml:space="preserve"> </w:t>
      </w:r>
      <w:r w:rsidRPr="00384CAF">
        <w:t>(</w:t>
      </w:r>
      <w:r>
        <w:rPr>
          <w:lang w:val="en-GB"/>
        </w:rPr>
        <w:t>eds</w:t>
      </w:r>
      <w:r w:rsidRPr="00384CAF">
        <w:t xml:space="preserve">), </w:t>
      </w:r>
      <w:r w:rsidRPr="00236AB2">
        <w:rPr>
          <w:lang w:val="en-GB"/>
        </w:rPr>
        <w:t>Environmental</w:t>
      </w:r>
      <w:r w:rsidRPr="00384CAF">
        <w:t xml:space="preserve"> </w:t>
      </w:r>
      <w:r w:rsidRPr="00236AB2">
        <w:rPr>
          <w:lang w:val="en-GB"/>
        </w:rPr>
        <w:t>Law</w:t>
      </w:r>
      <w:r w:rsidRPr="00384CAF">
        <w:t xml:space="preserve"> </w:t>
      </w:r>
      <w:r w:rsidRPr="00236AB2">
        <w:rPr>
          <w:lang w:val="en-GB"/>
        </w:rPr>
        <w:t>Principles</w:t>
      </w:r>
      <w:r w:rsidRPr="00384CAF">
        <w:t xml:space="preserve"> </w:t>
      </w:r>
      <w:r w:rsidRPr="00236AB2">
        <w:rPr>
          <w:lang w:val="en-GB"/>
        </w:rPr>
        <w:t>in</w:t>
      </w:r>
      <w:r w:rsidRPr="00384CAF">
        <w:t xml:space="preserve"> </w:t>
      </w:r>
      <w:r w:rsidRPr="00236AB2">
        <w:rPr>
          <w:lang w:val="en-GB"/>
        </w:rPr>
        <w:t>Practice</w:t>
      </w:r>
      <w:r w:rsidRPr="00384CAF">
        <w:t xml:space="preserve">, </w:t>
      </w:r>
      <w:r>
        <w:rPr>
          <w:lang w:val="en-US"/>
        </w:rPr>
        <w:t>Bruxelles</w:t>
      </w:r>
      <w:r w:rsidRPr="00384CAF">
        <w:t xml:space="preserve">, </w:t>
      </w:r>
      <w:r>
        <w:rPr>
          <w:lang w:val="en-US"/>
        </w:rPr>
        <w:t>Bruylant</w:t>
      </w:r>
      <w:r w:rsidRPr="00384CAF">
        <w:t xml:space="preserve">, 2002, </w:t>
      </w:r>
      <w:r w:rsidRPr="00236AB2">
        <w:t>σ</w:t>
      </w:r>
      <w:r w:rsidRPr="00384CAF">
        <w:t>. 47 (</w:t>
      </w:r>
      <w:r>
        <w:t>ο</w:t>
      </w:r>
      <w:r w:rsidRPr="00384CAF">
        <w:t xml:space="preserve"> </w:t>
      </w:r>
      <w:r>
        <w:t>οποίος</w:t>
      </w:r>
      <w:r w:rsidRPr="00384CAF">
        <w:t xml:space="preserve"> </w:t>
      </w:r>
      <w:r>
        <w:t>υπογραμμίζει</w:t>
      </w:r>
      <w:r w:rsidRPr="00384CAF">
        <w:t xml:space="preserve"> </w:t>
      </w:r>
      <w:r>
        <w:t>ότι</w:t>
      </w:r>
      <w:r w:rsidRPr="00384CAF">
        <w:t xml:space="preserve"> </w:t>
      </w:r>
      <w:r>
        <w:t>η</w:t>
      </w:r>
      <w:r w:rsidRPr="00384CAF">
        <w:t xml:space="preserve"> </w:t>
      </w:r>
      <w:r>
        <w:t>αρχή</w:t>
      </w:r>
      <w:r w:rsidRPr="00384CAF">
        <w:t xml:space="preserve"> </w:t>
      </w:r>
      <w:r>
        <w:t>της</w:t>
      </w:r>
      <w:r w:rsidRPr="00384CAF">
        <w:t xml:space="preserve"> </w:t>
      </w:r>
      <w:r>
        <w:t>προφύλαξης</w:t>
      </w:r>
      <w:r w:rsidRPr="00384CAF">
        <w:t xml:space="preserve"> </w:t>
      </w:r>
      <w:r>
        <w:t xml:space="preserve">ανήκει στις αρχές που έχουν ουσιαστικό αλλά και διαδικαστικό χαρακτήρα.) </w:t>
      </w:r>
    </w:p>
  </w:footnote>
  <w:footnote w:id="113">
    <w:p w:rsidR="008D4F0C" w:rsidRPr="00A75759" w:rsidRDefault="008D4F0C" w:rsidP="008D4F0C">
      <w:pPr>
        <w:pStyle w:val="FootnoteText"/>
        <w:jc w:val="both"/>
      </w:pPr>
      <w:r>
        <w:rPr>
          <w:rStyle w:val="FootnoteReference"/>
        </w:rPr>
        <w:footnoteRef/>
      </w:r>
      <w:r w:rsidRPr="00A75759">
        <w:t xml:space="preserve"> </w:t>
      </w:r>
      <w:r>
        <w:rPr>
          <w:i/>
          <w:lang w:val="en-US"/>
        </w:rPr>
        <w:t>N</w:t>
      </w:r>
      <w:r w:rsidRPr="00A75759">
        <w:rPr>
          <w:i/>
        </w:rPr>
        <w:t xml:space="preserve">. </w:t>
      </w:r>
      <w:r>
        <w:rPr>
          <w:i/>
          <w:lang w:val="en-US"/>
        </w:rPr>
        <w:t>de</w:t>
      </w:r>
      <w:r w:rsidRPr="00A75759">
        <w:rPr>
          <w:i/>
        </w:rPr>
        <w:t xml:space="preserve"> </w:t>
      </w:r>
      <w:r>
        <w:rPr>
          <w:i/>
          <w:lang w:val="en-US"/>
        </w:rPr>
        <w:t>Sadeleer</w:t>
      </w:r>
      <w:r w:rsidRPr="00A75759">
        <w:t>, “</w:t>
      </w:r>
      <w:r>
        <w:rPr>
          <w:lang w:val="en-US"/>
        </w:rPr>
        <w:t>The</w:t>
      </w:r>
      <w:r w:rsidRPr="00A75759">
        <w:t xml:space="preserve"> </w:t>
      </w:r>
      <w:r>
        <w:rPr>
          <w:lang w:val="en-US"/>
        </w:rPr>
        <w:t>Precautionary</w:t>
      </w:r>
      <w:r w:rsidRPr="00A75759">
        <w:t xml:space="preserve"> </w:t>
      </w:r>
      <w:r>
        <w:rPr>
          <w:lang w:val="en-US"/>
        </w:rPr>
        <w:t>Principle</w:t>
      </w:r>
      <w:r w:rsidRPr="00A75759">
        <w:t xml:space="preserve"> </w:t>
      </w:r>
      <w:r>
        <w:rPr>
          <w:lang w:val="en-US"/>
        </w:rPr>
        <w:t>in</w:t>
      </w:r>
      <w:r w:rsidRPr="00A75759">
        <w:t xml:space="preserve"> </w:t>
      </w:r>
      <w:r>
        <w:rPr>
          <w:lang w:val="en-US"/>
        </w:rPr>
        <w:t>European</w:t>
      </w:r>
      <w:r w:rsidRPr="00A75759">
        <w:t xml:space="preserve"> </w:t>
      </w:r>
      <w:r>
        <w:rPr>
          <w:lang w:val="en-US"/>
        </w:rPr>
        <w:t>Community</w:t>
      </w:r>
      <w:r w:rsidRPr="00A75759">
        <w:t xml:space="preserve"> </w:t>
      </w:r>
      <w:r>
        <w:rPr>
          <w:lang w:val="en-US"/>
        </w:rPr>
        <w:t>Health</w:t>
      </w:r>
      <w:r w:rsidRPr="00A75759">
        <w:t xml:space="preserve"> </w:t>
      </w:r>
      <w:r>
        <w:rPr>
          <w:lang w:val="en-US"/>
        </w:rPr>
        <w:t>and</w:t>
      </w:r>
      <w:r w:rsidRPr="00A75759">
        <w:t xml:space="preserve"> </w:t>
      </w:r>
      <w:r>
        <w:rPr>
          <w:lang w:val="en-US"/>
        </w:rPr>
        <w:t>Environmental</w:t>
      </w:r>
      <w:r w:rsidRPr="00A75759">
        <w:t xml:space="preserve"> </w:t>
      </w:r>
      <w:r>
        <w:rPr>
          <w:lang w:val="en-US"/>
        </w:rPr>
        <w:t>Law</w:t>
      </w:r>
      <w:r w:rsidRPr="00A75759">
        <w:t xml:space="preserve">”, </w:t>
      </w:r>
      <w:r>
        <w:rPr>
          <w:lang w:val="en-US"/>
        </w:rPr>
        <w:t>in</w:t>
      </w:r>
      <w:r w:rsidRPr="00A75759">
        <w:t xml:space="preserve">: </w:t>
      </w:r>
      <w:r>
        <w:rPr>
          <w:i/>
          <w:lang w:val="en-US"/>
        </w:rPr>
        <w:t>N</w:t>
      </w:r>
      <w:r w:rsidRPr="00A75759">
        <w:rPr>
          <w:i/>
        </w:rPr>
        <w:t xml:space="preserve">. </w:t>
      </w:r>
      <w:r>
        <w:rPr>
          <w:i/>
          <w:lang w:val="en-US"/>
        </w:rPr>
        <w:t>de</w:t>
      </w:r>
      <w:r w:rsidRPr="00A75759">
        <w:rPr>
          <w:i/>
        </w:rPr>
        <w:t xml:space="preserve"> </w:t>
      </w:r>
      <w:r>
        <w:rPr>
          <w:i/>
          <w:lang w:val="en-US"/>
        </w:rPr>
        <w:t>Sadeleer</w:t>
      </w:r>
      <w:r w:rsidRPr="00A75759">
        <w:rPr>
          <w:i/>
        </w:rPr>
        <w:t xml:space="preserve"> </w:t>
      </w:r>
      <w:r w:rsidRPr="00A75759">
        <w:t>(</w:t>
      </w:r>
      <w:r>
        <w:rPr>
          <w:lang w:val="en-US"/>
        </w:rPr>
        <w:t>eds</w:t>
      </w:r>
      <w:r w:rsidRPr="00A75759">
        <w:t xml:space="preserve">), </w:t>
      </w:r>
      <w:r>
        <w:rPr>
          <w:lang w:val="en-US"/>
        </w:rPr>
        <w:t>Implementing</w:t>
      </w:r>
      <w:r w:rsidRPr="00A75759">
        <w:t xml:space="preserve"> </w:t>
      </w:r>
      <w:r>
        <w:rPr>
          <w:lang w:val="en-US"/>
        </w:rPr>
        <w:t>the</w:t>
      </w:r>
      <w:r w:rsidRPr="00A75759">
        <w:t xml:space="preserve"> </w:t>
      </w:r>
      <w:r>
        <w:rPr>
          <w:lang w:val="en-US"/>
        </w:rPr>
        <w:t>Precautionary</w:t>
      </w:r>
      <w:r w:rsidRPr="00A75759">
        <w:t xml:space="preserve"> </w:t>
      </w:r>
      <w:r>
        <w:rPr>
          <w:lang w:val="en-US"/>
        </w:rPr>
        <w:t>Principle</w:t>
      </w:r>
      <w:r w:rsidRPr="00A75759">
        <w:t xml:space="preserve">, </w:t>
      </w:r>
      <w:r>
        <w:rPr>
          <w:lang w:val="en-US"/>
        </w:rPr>
        <w:t>London</w:t>
      </w:r>
      <w:r w:rsidRPr="00A75759">
        <w:t xml:space="preserve">, </w:t>
      </w:r>
      <w:r>
        <w:rPr>
          <w:lang w:val="en-US"/>
        </w:rPr>
        <w:t>Earthscan</w:t>
      </w:r>
      <w:r w:rsidRPr="00A75759">
        <w:t xml:space="preserve">, 2007, </w:t>
      </w:r>
      <w:r>
        <w:t>σ</w:t>
      </w:r>
      <w:r w:rsidRPr="00A75759">
        <w:t>. 18-19 (</w:t>
      </w:r>
      <w:r>
        <w:t>ο</w:t>
      </w:r>
      <w:r w:rsidRPr="00A75759">
        <w:t xml:space="preserve"> </w:t>
      </w:r>
      <w:r>
        <w:t>οποίος</w:t>
      </w:r>
      <w:r w:rsidRPr="00A75759">
        <w:t xml:space="preserve"> </w:t>
      </w:r>
      <w:r>
        <w:t>τονίζει</w:t>
      </w:r>
      <w:r w:rsidRPr="00A75759">
        <w:t xml:space="preserve"> </w:t>
      </w:r>
      <w:r>
        <w:t>ότι</w:t>
      </w:r>
      <w:r w:rsidRPr="00A75759">
        <w:t xml:space="preserve"> </w:t>
      </w:r>
      <w:r>
        <w:t>η</w:t>
      </w:r>
      <w:r w:rsidRPr="00A75759">
        <w:t xml:space="preserve"> </w:t>
      </w:r>
      <w:r>
        <w:t>εν</w:t>
      </w:r>
      <w:r w:rsidRPr="00A75759">
        <w:t xml:space="preserve"> </w:t>
      </w:r>
      <w:r>
        <w:t>λόγω</w:t>
      </w:r>
      <w:r w:rsidRPr="00A75759">
        <w:t xml:space="preserve"> </w:t>
      </w:r>
      <w:r>
        <w:t>αρχή</w:t>
      </w:r>
      <w:r w:rsidRPr="00A75759">
        <w:t xml:space="preserve"> </w:t>
      </w:r>
      <w:r>
        <w:t>εντάσσεται</w:t>
      </w:r>
      <w:r w:rsidRPr="00A75759">
        <w:t xml:space="preserve"> </w:t>
      </w:r>
      <w:r>
        <w:t>στο</w:t>
      </w:r>
      <w:r w:rsidRPr="00A75759">
        <w:t xml:space="preserve"> </w:t>
      </w:r>
      <w:r>
        <w:t>ευρύτερο</w:t>
      </w:r>
      <w:r w:rsidRPr="00A75759">
        <w:t xml:space="preserve"> </w:t>
      </w:r>
      <w:r>
        <w:t>πλαίσιο</w:t>
      </w:r>
      <w:r w:rsidRPr="00A75759">
        <w:t xml:space="preserve"> </w:t>
      </w:r>
      <w:r>
        <w:t>της</w:t>
      </w:r>
      <w:r w:rsidRPr="00A75759">
        <w:t xml:space="preserve"> </w:t>
      </w:r>
      <w:r>
        <w:t>ανάλυσης του κινδύνου δεδομένου ότι τα δύο στάδια διαπλέκονται μεταξύ τους κατά τη διαδικασία λήψης απόφασης) (σ. 11 επ.)</w:t>
      </w:r>
    </w:p>
  </w:footnote>
  <w:footnote w:id="114">
    <w:p w:rsidR="008D4F0C" w:rsidRPr="00960A9B" w:rsidRDefault="008D4F0C" w:rsidP="008D4F0C">
      <w:pPr>
        <w:pStyle w:val="FootnoteText"/>
        <w:jc w:val="both"/>
        <w:rPr>
          <w:lang w:val="en-US"/>
        </w:rPr>
      </w:pPr>
      <w:r>
        <w:rPr>
          <w:rStyle w:val="FootnoteReference"/>
        </w:rPr>
        <w:footnoteRef/>
      </w:r>
      <w:r w:rsidRPr="00DD4BDB">
        <w:rPr>
          <w:lang w:val="en-US"/>
        </w:rPr>
        <w:t xml:space="preserve"> </w:t>
      </w:r>
      <w:r>
        <w:rPr>
          <w:i/>
          <w:lang w:val="en-US"/>
        </w:rPr>
        <w:t>E. Fisher</w:t>
      </w:r>
      <w:r>
        <w:rPr>
          <w:lang w:val="en-US"/>
        </w:rPr>
        <w:t xml:space="preserve">, “Opening Pandora’s box: contextualizing the precautionary principle in the European Union” in: </w:t>
      </w:r>
      <w:r>
        <w:rPr>
          <w:i/>
          <w:lang w:val="en-US"/>
        </w:rPr>
        <w:t>M. Everson, E. Vos</w:t>
      </w:r>
      <w:r>
        <w:rPr>
          <w:lang w:val="en-US"/>
        </w:rPr>
        <w:t xml:space="preserve"> (eds), Uncertain Risks Regulated, Oxon, Routledge-Cavendish, 2009, </w:t>
      </w:r>
      <w:r>
        <w:t>σ</w:t>
      </w:r>
      <w:r w:rsidRPr="00411D09">
        <w:rPr>
          <w:lang w:val="en-US"/>
        </w:rPr>
        <w:t>. 23</w:t>
      </w:r>
      <w:r w:rsidRPr="003A3C32">
        <w:rPr>
          <w:lang w:val="en-US"/>
        </w:rPr>
        <w:t>.</w:t>
      </w:r>
      <w:r w:rsidRPr="00411D09">
        <w:rPr>
          <w:lang w:val="en-US"/>
        </w:rPr>
        <w:t xml:space="preserve"> </w:t>
      </w:r>
    </w:p>
  </w:footnote>
  <w:footnote w:id="115">
    <w:p w:rsidR="008D4F0C" w:rsidRPr="00CE1AFC" w:rsidRDefault="008D4F0C" w:rsidP="008D4F0C">
      <w:pPr>
        <w:pStyle w:val="FootnoteText"/>
        <w:jc w:val="both"/>
      </w:pPr>
      <w:r>
        <w:rPr>
          <w:rStyle w:val="FootnoteReference"/>
        </w:rPr>
        <w:footnoteRef/>
      </w:r>
      <w:r w:rsidRPr="00E02797">
        <w:t xml:space="preserve"> </w:t>
      </w:r>
      <w:r>
        <w:rPr>
          <w:i/>
        </w:rPr>
        <w:t>Γ. Μπάλια</w:t>
      </w:r>
      <w:r>
        <w:t xml:space="preserve">, Η αρχή της προφύλαξης στο διεθνές, κοινοτικό και συγκριτικό δίκαιο, ό.π. σ. 120 επ. </w:t>
      </w:r>
      <w:r>
        <w:rPr>
          <w:i/>
          <w:lang w:val="en-US"/>
        </w:rPr>
        <w:t>K</w:t>
      </w:r>
      <w:r w:rsidRPr="00762532">
        <w:rPr>
          <w:i/>
        </w:rPr>
        <w:t xml:space="preserve">. </w:t>
      </w:r>
      <w:r>
        <w:rPr>
          <w:i/>
          <w:lang w:val="en-US"/>
        </w:rPr>
        <w:t>Morrow</w:t>
      </w:r>
      <w:r w:rsidRPr="00762532">
        <w:rPr>
          <w:i/>
        </w:rPr>
        <w:t>,</w:t>
      </w:r>
      <w:r w:rsidRPr="00762532">
        <w:t xml:space="preserve"> “</w:t>
      </w:r>
      <w:r>
        <w:rPr>
          <w:lang w:val="en-US"/>
        </w:rPr>
        <w:t>Genetically</w:t>
      </w:r>
      <w:r w:rsidRPr="00762532">
        <w:t xml:space="preserve"> </w:t>
      </w:r>
      <w:r>
        <w:rPr>
          <w:lang w:val="en-US"/>
        </w:rPr>
        <w:t>Modified</w:t>
      </w:r>
      <w:r w:rsidRPr="00762532">
        <w:t xml:space="preserve"> </w:t>
      </w:r>
      <w:r>
        <w:rPr>
          <w:lang w:val="en-US"/>
        </w:rPr>
        <w:t>Organisms</w:t>
      </w:r>
      <w:r w:rsidRPr="00762532">
        <w:t xml:space="preserve"> </w:t>
      </w:r>
      <w:r>
        <w:rPr>
          <w:lang w:val="en-US"/>
        </w:rPr>
        <w:t>and</w:t>
      </w:r>
      <w:r w:rsidRPr="00762532">
        <w:t xml:space="preserve"> </w:t>
      </w:r>
      <w:r>
        <w:rPr>
          <w:lang w:val="en-US"/>
        </w:rPr>
        <w:t>Risk</w:t>
      </w:r>
      <w:r w:rsidRPr="00762532">
        <w:t xml:space="preserve">”, </w:t>
      </w:r>
      <w:r>
        <w:rPr>
          <w:lang w:val="en-US"/>
        </w:rPr>
        <w:t>in</w:t>
      </w:r>
      <w:r w:rsidRPr="00762532">
        <w:t xml:space="preserve">: </w:t>
      </w:r>
      <w:r>
        <w:rPr>
          <w:lang w:val="en-US"/>
        </w:rPr>
        <w:t>The</w:t>
      </w:r>
      <w:r w:rsidRPr="00762532">
        <w:t xml:space="preserve"> </w:t>
      </w:r>
      <w:r>
        <w:rPr>
          <w:lang w:val="en-US"/>
        </w:rPr>
        <w:t>Regulation</w:t>
      </w:r>
      <w:r w:rsidRPr="00762532">
        <w:t xml:space="preserve"> </w:t>
      </w:r>
      <w:r>
        <w:rPr>
          <w:lang w:val="en-US"/>
        </w:rPr>
        <w:t>of</w:t>
      </w:r>
      <w:r w:rsidRPr="00762532">
        <w:t xml:space="preserve"> </w:t>
      </w:r>
      <w:r>
        <w:rPr>
          <w:lang w:val="en-US"/>
        </w:rPr>
        <w:t>Genetically</w:t>
      </w:r>
      <w:r w:rsidRPr="00762532">
        <w:t xml:space="preserve"> </w:t>
      </w:r>
      <w:r>
        <w:rPr>
          <w:lang w:val="en-US"/>
        </w:rPr>
        <w:t>Modified</w:t>
      </w:r>
      <w:r w:rsidRPr="00762532">
        <w:t xml:space="preserve"> </w:t>
      </w:r>
      <w:r>
        <w:rPr>
          <w:lang w:val="en-US"/>
        </w:rPr>
        <w:t>Organisms</w:t>
      </w:r>
      <w:r w:rsidRPr="00762532">
        <w:t xml:space="preserve">, </w:t>
      </w:r>
      <w:r>
        <w:t>ό</w:t>
      </w:r>
      <w:r w:rsidRPr="00762532">
        <w:t>.</w:t>
      </w:r>
      <w:r>
        <w:t>π</w:t>
      </w:r>
      <w:r w:rsidRPr="00762532">
        <w:t xml:space="preserve">., </w:t>
      </w:r>
      <w:r>
        <w:t>σ</w:t>
      </w:r>
      <w:r w:rsidRPr="00762532">
        <w:t>. 64 (</w:t>
      </w:r>
      <w:r>
        <w:t>η</w:t>
      </w:r>
      <w:r w:rsidRPr="00762532">
        <w:t xml:space="preserve"> </w:t>
      </w:r>
      <w:r>
        <w:t>οποία</w:t>
      </w:r>
      <w:r w:rsidRPr="00762532">
        <w:t xml:space="preserve"> </w:t>
      </w:r>
      <w:r>
        <w:t>τονίζει</w:t>
      </w:r>
      <w:r w:rsidRPr="00762532">
        <w:t xml:space="preserve"> </w:t>
      </w:r>
      <w:r>
        <w:t>ότι</w:t>
      </w:r>
      <w:r w:rsidRPr="00762532">
        <w:t xml:space="preserve"> </w:t>
      </w:r>
      <w:r>
        <w:t>η</w:t>
      </w:r>
      <w:r w:rsidRPr="00762532">
        <w:t xml:space="preserve"> </w:t>
      </w:r>
      <w:r>
        <w:t>εφαρμογή</w:t>
      </w:r>
      <w:r w:rsidRPr="00762532">
        <w:t xml:space="preserve"> </w:t>
      </w:r>
      <w:r>
        <w:t>της</w:t>
      </w:r>
      <w:r w:rsidRPr="00762532">
        <w:t xml:space="preserve"> </w:t>
      </w:r>
      <w:r>
        <w:t>αρχής</w:t>
      </w:r>
      <w:r w:rsidRPr="00762532">
        <w:t xml:space="preserve"> </w:t>
      </w:r>
      <w:r>
        <w:t>της</w:t>
      </w:r>
      <w:r w:rsidRPr="00762532">
        <w:t xml:space="preserve"> </w:t>
      </w:r>
      <w:r>
        <w:t>προφύλαξης</w:t>
      </w:r>
      <w:r w:rsidRPr="00762532">
        <w:t xml:space="preserve"> </w:t>
      </w:r>
      <w:r>
        <w:t>στο</w:t>
      </w:r>
      <w:r w:rsidRPr="00762532">
        <w:t xml:space="preserve"> </w:t>
      </w:r>
      <w:r>
        <w:t>ευρύτερο</w:t>
      </w:r>
      <w:r w:rsidRPr="00762532">
        <w:t xml:space="preserve"> </w:t>
      </w:r>
      <w:r>
        <w:t>πλαίσιο της ανάλυσης του κινδύνου επιφέρει σημαντικές αλλαγές στον τρόπο με τον οποίο αντιλαμβανόμαστε τη διαδικασία λήψης απόφασης).</w:t>
      </w:r>
      <w:r w:rsidRPr="00CE1AFC">
        <w:t xml:space="preserve"> </w:t>
      </w:r>
    </w:p>
  </w:footnote>
  <w:footnote w:id="116">
    <w:p w:rsidR="008D4F0C" w:rsidRPr="00B9365B" w:rsidRDefault="008D4F0C" w:rsidP="008D4F0C">
      <w:pPr>
        <w:pStyle w:val="FootnoteText"/>
        <w:jc w:val="both"/>
        <w:rPr>
          <w:lang w:val="en-US"/>
        </w:rPr>
      </w:pPr>
      <w:r w:rsidRPr="00B9365B">
        <w:rPr>
          <w:rStyle w:val="FootnoteReference"/>
        </w:rPr>
        <w:footnoteRef/>
      </w:r>
      <w:r w:rsidRPr="00B9365B">
        <w:rPr>
          <w:lang w:val="en-GB"/>
        </w:rPr>
        <w:t xml:space="preserve"> </w:t>
      </w:r>
      <w:r w:rsidRPr="00B9365B">
        <w:rPr>
          <w:i/>
          <w:lang w:val="en-GB"/>
        </w:rPr>
        <w:t>D.E. Adelman</w:t>
      </w:r>
      <w:r w:rsidRPr="00B9365B">
        <w:rPr>
          <w:lang w:val="en-GB"/>
        </w:rPr>
        <w:t>, “</w:t>
      </w:r>
      <w:r w:rsidRPr="00B9365B">
        <w:rPr>
          <w:lang w:val="en-US"/>
        </w:rPr>
        <w:t xml:space="preserve">Harmonizing Methods of Scientific Inference with the Precautionary Principle: Oportunities and Constrains”, Environmental Law Reporter, News &amp; Analysis, Vol. 34(2), 2004, </w:t>
      </w:r>
      <w:r w:rsidRPr="00B9365B">
        <w:t>σ</w:t>
      </w:r>
      <w:r w:rsidRPr="00B9365B">
        <w:rPr>
          <w:lang w:val="en-GB"/>
        </w:rPr>
        <w:t xml:space="preserve">. 10134. </w:t>
      </w:r>
      <w:r w:rsidRPr="00B9365B">
        <w:rPr>
          <w:i/>
          <w:lang w:val="en-US"/>
        </w:rPr>
        <w:t>S. Kolitch</w:t>
      </w:r>
      <w:r w:rsidRPr="00B9365B">
        <w:rPr>
          <w:lang w:val="en-US"/>
        </w:rPr>
        <w:t xml:space="preserve">, “The environmental and public health impacts of U.S. Patent Law: Making the case for incorporating a precautionary principle”, Environmental Law, Vol. 36, 2006, </w:t>
      </w:r>
      <w:r w:rsidRPr="00B9365B">
        <w:t>σ</w:t>
      </w:r>
      <w:r w:rsidRPr="00B9365B">
        <w:rPr>
          <w:lang w:val="en-GB"/>
        </w:rPr>
        <w:t xml:space="preserve">. 240. </w:t>
      </w:r>
    </w:p>
  </w:footnote>
  <w:footnote w:id="117">
    <w:p w:rsidR="008D4F0C" w:rsidRPr="00366878" w:rsidRDefault="008D4F0C" w:rsidP="008D4F0C">
      <w:pPr>
        <w:pStyle w:val="FootnoteText"/>
        <w:jc w:val="both"/>
        <w:rPr>
          <w:lang w:val="en-GB"/>
        </w:rPr>
      </w:pPr>
      <w:r w:rsidRPr="00366878">
        <w:rPr>
          <w:rStyle w:val="FootnoteReference"/>
        </w:rPr>
        <w:footnoteRef/>
      </w:r>
      <w:r w:rsidRPr="00366878">
        <w:rPr>
          <w:lang w:val="en-US"/>
        </w:rPr>
        <w:t xml:space="preserve"> </w:t>
      </w:r>
      <w:r w:rsidRPr="00366878">
        <w:rPr>
          <w:i/>
          <w:lang w:val="en-US"/>
        </w:rPr>
        <w:t>K.S. Shrader-Frechette, E.D. McCoy</w:t>
      </w:r>
      <w:r w:rsidRPr="00366878">
        <w:rPr>
          <w:lang w:val="en-US"/>
        </w:rPr>
        <w:t xml:space="preserve">, Method in Ecology, </w:t>
      </w:r>
      <w:r w:rsidRPr="00366878">
        <w:t>ό</w:t>
      </w:r>
      <w:r w:rsidRPr="00366878">
        <w:rPr>
          <w:lang w:val="en-US"/>
        </w:rPr>
        <w:t>.</w:t>
      </w:r>
      <w:r w:rsidRPr="00366878">
        <w:t>π</w:t>
      </w:r>
      <w:r w:rsidRPr="00366878">
        <w:rPr>
          <w:lang w:val="en-US"/>
        </w:rPr>
        <w:t xml:space="preserve">.,  </w:t>
      </w:r>
      <w:r w:rsidRPr="00366878">
        <w:t>σ</w:t>
      </w:r>
      <w:r w:rsidRPr="00366878">
        <w:rPr>
          <w:lang w:val="en-US"/>
        </w:rPr>
        <w:t>. 155.</w:t>
      </w:r>
    </w:p>
  </w:footnote>
  <w:footnote w:id="118">
    <w:p w:rsidR="008D4F0C" w:rsidRPr="008D4F0C" w:rsidRDefault="008D4F0C" w:rsidP="008D4F0C">
      <w:pPr>
        <w:pStyle w:val="FootnoteText"/>
        <w:jc w:val="both"/>
        <w:rPr>
          <w:lang w:val="en-US"/>
        </w:rPr>
      </w:pPr>
      <w:r w:rsidRPr="00366878">
        <w:rPr>
          <w:rStyle w:val="FootnoteReference"/>
        </w:rPr>
        <w:footnoteRef/>
      </w:r>
      <w:r w:rsidRPr="00366878">
        <w:rPr>
          <w:lang w:val="en-US"/>
        </w:rPr>
        <w:t xml:space="preserve"> </w:t>
      </w:r>
      <w:r w:rsidRPr="00366878">
        <w:rPr>
          <w:i/>
          <w:lang w:val="en-US"/>
        </w:rPr>
        <w:t>European Environment Agency</w:t>
      </w:r>
      <w:r w:rsidRPr="00366878">
        <w:rPr>
          <w:lang w:val="en-US"/>
        </w:rPr>
        <w:t>, Late lessons from early warnings: the precautionary principle 1896-2000.</w:t>
      </w:r>
      <w:r w:rsidRPr="00366878">
        <w:rPr>
          <w:lang w:val="en-GB"/>
        </w:rPr>
        <w:t xml:space="preserve"> </w:t>
      </w:r>
      <w:r w:rsidRPr="00366878">
        <w:rPr>
          <w:lang w:val="en-US"/>
        </w:rPr>
        <w:t>Environmental</w:t>
      </w:r>
      <w:r w:rsidRPr="00366878">
        <w:t xml:space="preserve"> </w:t>
      </w:r>
      <w:r w:rsidRPr="00366878">
        <w:rPr>
          <w:lang w:val="en-US"/>
        </w:rPr>
        <w:t>issue</w:t>
      </w:r>
      <w:r w:rsidRPr="00366878">
        <w:t xml:space="preserve"> </w:t>
      </w:r>
      <w:r w:rsidRPr="00366878">
        <w:rPr>
          <w:lang w:val="en-US"/>
        </w:rPr>
        <w:t>report</w:t>
      </w:r>
      <w:r w:rsidRPr="00366878">
        <w:t xml:space="preserve">, </w:t>
      </w:r>
      <w:r w:rsidRPr="00366878">
        <w:rPr>
          <w:lang w:val="en-US"/>
        </w:rPr>
        <w:t>No</w:t>
      </w:r>
      <w:r w:rsidRPr="00366878">
        <w:t xml:space="preserve"> 22, </w:t>
      </w:r>
      <w:smartTag w:uri="urn:schemas-microsoft-com:office:smarttags" w:element="City">
        <w:smartTag w:uri="urn:schemas-microsoft-com:office:smarttags" w:element="place">
          <w:r w:rsidRPr="00366878">
            <w:rPr>
              <w:lang w:val="en-US"/>
            </w:rPr>
            <w:t>Copenhagen</w:t>
          </w:r>
        </w:smartTag>
      </w:smartTag>
      <w:r w:rsidRPr="00366878">
        <w:t>, 2001, σ. 184. Αυτή η άποψη είναι η κρατούσα διότι οι επιστήμονες θεωρούν ότι ένας κίνδυνος είναι πραγματικός όταν υπάρχει μικρότερη από 5% πιθανότητα ότι η απόδειξη που υποστηρίζει την ύπαρξη κινδύνου προέρχεται εκ τύχης. Έτσι γενικά εστιάζουν τη προσοχή τους στο να μην πουν ότι κάτι υπάρχει ενώ δεν υπάρχει. Βλ</w:t>
      </w:r>
      <w:r w:rsidRPr="00366878">
        <w:rPr>
          <w:lang w:val="en-GB"/>
        </w:rPr>
        <w:t xml:space="preserve">. </w:t>
      </w:r>
      <w:r w:rsidRPr="00366878">
        <w:t>σχετ</w:t>
      </w:r>
      <w:r w:rsidRPr="00366878">
        <w:rPr>
          <w:lang w:val="en-GB"/>
        </w:rPr>
        <w:t xml:space="preserve">., </w:t>
      </w:r>
      <w:r w:rsidRPr="00366878">
        <w:rPr>
          <w:i/>
          <w:lang w:val="en-US"/>
        </w:rPr>
        <w:t>WHO</w:t>
      </w:r>
      <w:r w:rsidRPr="00366878">
        <w:rPr>
          <w:lang w:val="en-GB"/>
        </w:rPr>
        <w:t xml:space="preserve">, </w:t>
      </w:r>
      <w:r w:rsidRPr="00366878">
        <w:rPr>
          <w:lang w:val="en-US"/>
        </w:rPr>
        <w:t>Precautionary</w:t>
      </w:r>
      <w:r w:rsidRPr="00366878">
        <w:rPr>
          <w:lang w:val="en-GB"/>
        </w:rPr>
        <w:t xml:space="preserve"> </w:t>
      </w:r>
      <w:r w:rsidRPr="00366878">
        <w:rPr>
          <w:lang w:val="en-US"/>
        </w:rPr>
        <w:t>Framework</w:t>
      </w:r>
      <w:r w:rsidRPr="00366878">
        <w:rPr>
          <w:lang w:val="en-GB"/>
        </w:rPr>
        <w:t xml:space="preserve"> </w:t>
      </w:r>
      <w:r w:rsidRPr="00366878">
        <w:rPr>
          <w:lang w:val="en-US"/>
        </w:rPr>
        <w:t>for</w:t>
      </w:r>
      <w:r w:rsidRPr="00366878">
        <w:rPr>
          <w:lang w:val="en-GB"/>
        </w:rPr>
        <w:t xml:space="preserve"> </w:t>
      </w:r>
      <w:r w:rsidRPr="00366878">
        <w:rPr>
          <w:lang w:val="en-US"/>
        </w:rPr>
        <w:t>Public</w:t>
      </w:r>
      <w:r w:rsidRPr="00366878">
        <w:rPr>
          <w:lang w:val="en-GB"/>
        </w:rPr>
        <w:t xml:space="preserve"> </w:t>
      </w:r>
      <w:r w:rsidRPr="00366878">
        <w:rPr>
          <w:lang w:val="en-US"/>
        </w:rPr>
        <w:t>Health</w:t>
      </w:r>
      <w:r w:rsidRPr="00366878">
        <w:rPr>
          <w:lang w:val="en-GB"/>
        </w:rPr>
        <w:t xml:space="preserve"> </w:t>
      </w:r>
      <w:r w:rsidRPr="00366878">
        <w:rPr>
          <w:lang w:val="en-US"/>
        </w:rPr>
        <w:t>Protection</w:t>
      </w:r>
      <w:r w:rsidRPr="00366878">
        <w:rPr>
          <w:lang w:val="en-GB"/>
        </w:rPr>
        <w:t xml:space="preserve"> (</w:t>
      </w:r>
      <w:r w:rsidRPr="00366878">
        <w:rPr>
          <w:lang w:val="en-US"/>
        </w:rPr>
        <w:t>Draft</w:t>
      </w:r>
      <w:r w:rsidRPr="00366878">
        <w:rPr>
          <w:lang w:val="en-GB"/>
        </w:rPr>
        <w:t xml:space="preserve"> </w:t>
      </w:r>
      <w:r w:rsidRPr="00366878">
        <w:rPr>
          <w:lang w:val="en-US"/>
        </w:rPr>
        <w:t>for</w:t>
      </w:r>
      <w:r w:rsidRPr="00366878">
        <w:rPr>
          <w:lang w:val="en-GB"/>
        </w:rPr>
        <w:t xml:space="preserve"> </w:t>
      </w:r>
      <w:r w:rsidRPr="00366878">
        <w:rPr>
          <w:lang w:val="en-US"/>
        </w:rPr>
        <w:t>Review</w:t>
      </w:r>
      <w:r w:rsidRPr="00366878">
        <w:rPr>
          <w:lang w:val="en-GB"/>
        </w:rPr>
        <w:t xml:space="preserve">), 2.5.2003, </w:t>
      </w:r>
      <w:r w:rsidRPr="00366878">
        <w:t>σ</w:t>
      </w:r>
      <w:r w:rsidRPr="00366878">
        <w:rPr>
          <w:lang w:val="en-GB"/>
        </w:rPr>
        <w:t xml:space="preserve">. 4. </w:t>
      </w:r>
      <w:r>
        <w:t>Το</w:t>
      </w:r>
      <w:r w:rsidRPr="008D4F0C">
        <w:rPr>
          <w:lang w:val="en-US"/>
        </w:rPr>
        <w:t xml:space="preserve"> </w:t>
      </w:r>
      <w:r>
        <w:t>κείμενο</w:t>
      </w:r>
      <w:r w:rsidRPr="008D4F0C">
        <w:rPr>
          <w:lang w:val="en-US"/>
        </w:rPr>
        <w:t xml:space="preserve"> </w:t>
      </w:r>
      <w:r>
        <w:t>είναι</w:t>
      </w:r>
      <w:r w:rsidRPr="008D4F0C">
        <w:rPr>
          <w:lang w:val="en-US"/>
        </w:rPr>
        <w:t xml:space="preserve"> </w:t>
      </w:r>
      <w:r>
        <w:t>διαθέσιμο</w:t>
      </w:r>
      <w:r w:rsidRPr="008D4F0C">
        <w:rPr>
          <w:lang w:val="en-US"/>
        </w:rPr>
        <w:t xml:space="preserve"> </w:t>
      </w:r>
      <w:r>
        <w:t>στο</w:t>
      </w:r>
      <w:r w:rsidRPr="008D4F0C">
        <w:rPr>
          <w:lang w:val="en-US"/>
        </w:rPr>
        <w:t xml:space="preserve">: </w:t>
      </w:r>
      <w:hyperlink r:id="rId17" w:history="1">
        <w:r w:rsidRPr="00366878">
          <w:rPr>
            <w:rStyle w:val="Hyperlink"/>
            <w:lang w:val="en-US"/>
          </w:rPr>
          <w:t>www</w:t>
        </w:r>
        <w:r w:rsidRPr="008D4F0C">
          <w:rPr>
            <w:rStyle w:val="Hyperlink"/>
            <w:lang w:val="en-US"/>
          </w:rPr>
          <w:t>.</w:t>
        </w:r>
        <w:r w:rsidRPr="00366878">
          <w:rPr>
            <w:rStyle w:val="Hyperlink"/>
            <w:lang w:val="en-US"/>
          </w:rPr>
          <w:t>who</w:t>
        </w:r>
        <w:r w:rsidRPr="008D4F0C">
          <w:rPr>
            <w:rStyle w:val="Hyperlink"/>
            <w:lang w:val="en-US"/>
          </w:rPr>
          <w:t>.</w:t>
        </w:r>
        <w:r w:rsidRPr="00366878">
          <w:rPr>
            <w:rStyle w:val="Hyperlink"/>
            <w:lang w:val="en-US"/>
          </w:rPr>
          <w:t>int</w:t>
        </w:r>
        <w:r w:rsidRPr="008D4F0C">
          <w:rPr>
            <w:rStyle w:val="Hyperlink"/>
            <w:lang w:val="en-US"/>
          </w:rPr>
          <w:t>/</w:t>
        </w:r>
      </w:hyperlink>
      <w:r w:rsidRPr="008D4F0C">
        <w:rPr>
          <w:lang w:val="en-US"/>
        </w:rPr>
        <w:t xml:space="preserve"> </w:t>
      </w:r>
    </w:p>
  </w:footnote>
  <w:footnote w:id="119">
    <w:p w:rsidR="008D4F0C" w:rsidRPr="00366878" w:rsidRDefault="008D4F0C" w:rsidP="008D4F0C">
      <w:pPr>
        <w:pStyle w:val="FootnoteText"/>
        <w:jc w:val="both"/>
        <w:rPr>
          <w:lang w:val="en-GB"/>
        </w:rPr>
      </w:pPr>
      <w:r w:rsidRPr="00366878">
        <w:rPr>
          <w:rStyle w:val="FootnoteReference"/>
        </w:rPr>
        <w:footnoteRef/>
      </w:r>
      <w:r w:rsidRPr="00366878">
        <w:rPr>
          <w:lang w:val="en-GB"/>
        </w:rPr>
        <w:t xml:space="preserve"> </w:t>
      </w:r>
      <w:r w:rsidRPr="00366878">
        <w:rPr>
          <w:i/>
          <w:lang w:val="en-US"/>
        </w:rPr>
        <w:t>R</w:t>
      </w:r>
      <w:r w:rsidRPr="00366878">
        <w:rPr>
          <w:i/>
          <w:lang w:val="en-GB"/>
        </w:rPr>
        <w:t>.</w:t>
      </w:r>
      <w:r w:rsidRPr="00366878">
        <w:rPr>
          <w:i/>
          <w:lang w:val="en-US"/>
        </w:rPr>
        <w:t>M</w:t>
      </w:r>
      <w:r w:rsidRPr="00366878">
        <w:rPr>
          <w:i/>
          <w:lang w:val="en-GB"/>
        </w:rPr>
        <w:t xml:space="preserve">. </w:t>
      </w:r>
      <w:r w:rsidRPr="00366878">
        <w:rPr>
          <w:i/>
          <w:lang w:val="en-US"/>
        </w:rPr>
        <w:t>M</w:t>
      </w:r>
      <w:r w:rsidRPr="00366878">
        <w:rPr>
          <w:i/>
          <w:lang w:val="en-GB"/>
        </w:rPr>
        <w:t>’</w:t>
      </w:r>
      <w:r w:rsidRPr="00366878">
        <w:rPr>
          <w:i/>
          <w:lang w:val="en-US"/>
        </w:rPr>
        <w:t>Gonigle</w:t>
      </w:r>
      <w:r w:rsidRPr="00366878">
        <w:rPr>
          <w:i/>
          <w:lang w:val="en-GB"/>
        </w:rPr>
        <w:t xml:space="preserve">, </w:t>
      </w:r>
      <w:r w:rsidRPr="00366878">
        <w:rPr>
          <w:i/>
          <w:lang w:val="en-US"/>
        </w:rPr>
        <w:t>T</w:t>
      </w:r>
      <w:r w:rsidRPr="00366878">
        <w:rPr>
          <w:i/>
          <w:lang w:val="en-GB"/>
        </w:rPr>
        <w:t xml:space="preserve">. </w:t>
      </w:r>
      <w:r w:rsidRPr="00366878">
        <w:rPr>
          <w:i/>
          <w:lang w:val="en-US"/>
        </w:rPr>
        <w:t>Lynne</w:t>
      </w:r>
      <w:r w:rsidRPr="00366878">
        <w:rPr>
          <w:i/>
          <w:lang w:val="en-GB"/>
        </w:rPr>
        <w:t xml:space="preserve"> </w:t>
      </w:r>
      <w:r w:rsidRPr="00366878">
        <w:rPr>
          <w:i/>
          <w:lang w:val="en-US"/>
        </w:rPr>
        <w:t>Jamieson, M.K. McAllister, R.M. Peterman</w:t>
      </w:r>
      <w:r w:rsidRPr="00366878">
        <w:rPr>
          <w:lang w:val="en-US"/>
        </w:rPr>
        <w:t xml:space="preserve">, “Taking Uncertainty Seriously: from Permissive Regulation to Preventive Design in Environmental Decision Making”, Osgood Hall Law Journal, Vol. 32(1), 1994, </w:t>
      </w:r>
      <w:r w:rsidRPr="00366878">
        <w:t>σ</w:t>
      </w:r>
      <w:r w:rsidRPr="00366878">
        <w:rPr>
          <w:lang w:val="en-US"/>
        </w:rPr>
        <w:t>. 104.</w:t>
      </w:r>
    </w:p>
  </w:footnote>
  <w:footnote w:id="120">
    <w:p w:rsidR="008D4F0C" w:rsidRPr="00366878" w:rsidRDefault="008D4F0C" w:rsidP="008D4F0C">
      <w:pPr>
        <w:pStyle w:val="FootnoteText"/>
        <w:rPr>
          <w:lang w:val="en-GB"/>
        </w:rPr>
      </w:pPr>
      <w:r w:rsidRPr="00366878">
        <w:rPr>
          <w:rStyle w:val="FootnoteReference"/>
        </w:rPr>
        <w:footnoteRef/>
      </w:r>
      <w:r w:rsidRPr="00366878">
        <w:rPr>
          <w:lang w:val="en-US"/>
        </w:rPr>
        <w:t xml:space="preserve"> </w:t>
      </w:r>
      <w:r w:rsidRPr="00366878">
        <w:rPr>
          <w:i/>
          <w:lang w:val="en-US"/>
        </w:rPr>
        <w:t>Ibid.</w:t>
      </w:r>
    </w:p>
  </w:footnote>
  <w:footnote w:id="121">
    <w:p w:rsidR="008D4F0C" w:rsidRPr="00366878" w:rsidRDefault="008D4F0C" w:rsidP="008D4F0C">
      <w:pPr>
        <w:pStyle w:val="FootnoteText"/>
        <w:jc w:val="both"/>
        <w:rPr>
          <w:lang w:val="en-GB"/>
        </w:rPr>
      </w:pPr>
      <w:r w:rsidRPr="00366878">
        <w:rPr>
          <w:rStyle w:val="FootnoteReference"/>
        </w:rPr>
        <w:footnoteRef/>
      </w:r>
      <w:r w:rsidRPr="00366878">
        <w:rPr>
          <w:lang w:val="en-US"/>
        </w:rPr>
        <w:t xml:space="preserve"> </w:t>
      </w:r>
      <w:r w:rsidRPr="00366878">
        <w:rPr>
          <w:i/>
          <w:lang w:val="en-US"/>
        </w:rPr>
        <w:t>Jr.J.</w:t>
      </w:r>
      <w:r w:rsidRPr="00366878">
        <w:rPr>
          <w:i/>
          <w:lang w:val="en-GB"/>
        </w:rPr>
        <w:t xml:space="preserve"> </w:t>
      </w:r>
      <w:r w:rsidRPr="00366878">
        <w:rPr>
          <w:i/>
          <w:lang w:val="en-US"/>
        </w:rPr>
        <w:t>Cairns</w:t>
      </w:r>
      <w:r w:rsidRPr="00366878">
        <w:rPr>
          <w:lang w:val="en-US"/>
        </w:rPr>
        <w:t xml:space="preserve">, “Absence of certainty is not synonymous with absence of risk”, Environmental Health Perspectives, Vol. 107(2), 1999, </w:t>
      </w:r>
      <w:r w:rsidRPr="00366878">
        <w:t>σ</w:t>
      </w:r>
      <w:r w:rsidRPr="00366878">
        <w:rPr>
          <w:lang w:val="en-US"/>
        </w:rPr>
        <w:t>.  a56-a57.</w:t>
      </w:r>
    </w:p>
  </w:footnote>
  <w:footnote w:id="122">
    <w:p w:rsidR="008D4F0C" w:rsidRPr="00366878" w:rsidRDefault="008D4F0C" w:rsidP="008D4F0C">
      <w:pPr>
        <w:pStyle w:val="FootnoteText"/>
        <w:jc w:val="both"/>
        <w:rPr>
          <w:lang w:val="en-GB"/>
        </w:rPr>
      </w:pPr>
      <w:r w:rsidRPr="00366878">
        <w:rPr>
          <w:rStyle w:val="FootnoteReference"/>
        </w:rPr>
        <w:footnoteRef/>
      </w:r>
      <w:r w:rsidRPr="00366878">
        <w:rPr>
          <w:lang w:val="en-US"/>
        </w:rPr>
        <w:t xml:space="preserve"> </w:t>
      </w:r>
      <w:r w:rsidRPr="00366878">
        <w:rPr>
          <w:i/>
          <w:lang w:val="en-US"/>
        </w:rPr>
        <w:t>K.S. Shrader-Frechette, E.D. McCoy</w:t>
      </w:r>
      <w:r w:rsidRPr="00366878">
        <w:rPr>
          <w:lang w:val="en-US"/>
        </w:rPr>
        <w:t>, Method in E</w:t>
      </w:r>
      <w:r>
        <w:rPr>
          <w:lang w:val="en-US"/>
        </w:rPr>
        <w:t>cology: Strategies for Conservation, Cambridge MA, Cambridge University Press, 1993</w:t>
      </w:r>
      <w:r w:rsidRPr="00366878">
        <w:rPr>
          <w:lang w:val="en-US"/>
        </w:rPr>
        <w:t xml:space="preserve">,  </w:t>
      </w:r>
      <w:r w:rsidRPr="00366878">
        <w:t>σ</w:t>
      </w:r>
      <w:r w:rsidRPr="00366878">
        <w:rPr>
          <w:lang w:val="en-US"/>
        </w:rPr>
        <w:t>. 157.</w:t>
      </w:r>
    </w:p>
  </w:footnote>
  <w:footnote w:id="123">
    <w:p w:rsidR="008D4F0C" w:rsidRPr="00366878" w:rsidRDefault="008D4F0C" w:rsidP="008D4F0C">
      <w:pPr>
        <w:pStyle w:val="FootnoteText"/>
        <w:jc w:val="both"/>
      </w:pPr>
      <w:r w:rsidRPr="00366878">
        <w:rPr>
          <w:rStyle w:val="FootnoteReference"/>
        </w:rPr>
        <w:footnoteRef/>
      </w:r>
      <w:r w:rsidRPr="00366878">
        <w:rPr>
          <w:lang w:val="en-US"/>
        </w:rPr>
        <w:t xml:space="preserve"> </w:t>
      </w:r>
      <w:r w:rsidRPr="00366878">
        <w:rPr>
          <w:i/>
          <w:lang w:val="en-US"/>
        </w:rPr>
        <w:t>Ibid</w:t>
      </w:r>
      <w:r w:rsidRPr="00366878">
        <w:rPr>
          <w:lang w:val="en-US"/>
        </w:rPr>
        <w:t>.</w:t>
      </w:r>
      <w:r w:rsidRPr="00366878">
        <w:rPr>
          <w:lang w:val="en-GB"/>
        </w:rPr>
        <w:t xml:space="preserve"> </w:t>
      </w:r>
      <w:r w:rsidRPr="00366878">
        <w:t>Ομοίως</w:t>
      </w:r>
      <w:r w:rsidRPr="00366878">
        <w:rPr>
          <w:lang w:val="en-GB"/>
        </w:rPr>
        <w:t xml:space="preserve">, </w:t>
      </w:r>
      <w:r w:rsidRPr="00366878">
        <w:rPr>
          <w:i/>
          <w:lang w:val="en-US"/>
        </w:rPr>
        <w:t>D. Nadine Scott</w:t>
      </w:r>
      <w:r w:rsidRPr="00366878">
        <w:rPr>
          <w:lang w:val="en-US"/>
        </w:rPr>
        <w:t xml:space="preserve">, “Shifting the Burden of Proof: The Precautionary Principle and Its Potential for the “Democratization” of Risk”, in: </w:t>
      </w:r>
      <w:r w:rsidRPr="00366878">
        <w:rPr>
          <w:i/>
          <w:lang w:val="en-US"/>
        </w:rPr>
        <w:t xml:space="preserve">Law Commission of </w:t>
      </w:r>
      <w:smartTag w:uri="urn:schemas-microsoft-com:office:smarttags" w:element="country-region">
        <w:smartTag w:uri="urn:schemas-microsoft-com:office:smarttags" w:element="place">
          <w:r w:rsidRPr="00366878">
            <w:rPr>
              <w:i/>
              <w:lang w:val="en-US"/>
            </w:rPr>
            <w:t>Canada</w:t>
          </w:r>
        </w:smartTag>
      </w:smartTag>
      <w:r w:rsidRPr="00366878">
        <w:rPr>
          <w:lang w:val="en-US"/>
        </w:rPr>
        <w:t xml:space="preserve">, Law and Risk, </w:t>
      </w:r>
      <w:smartTag w:uri="urn:schemas-microsoft-com:office:smarttags" w:element="City">
        <w:smartTag w:uri="urn:schemas-microsoft-com:office:smarttags" w:element="place">
          <w:r w:rsidRPr="00366878">
            <w:rPr>
              <w:lang w:val="en-US"/>
            </w:rPr>
            <w:t>Vancouver</w:t>
          </w:r>
        </w:smartTag>
      </w:smartTag>
      <w:r w:rsidRPr="00366878">
        <w:rPr>
          <w:lang w:val="en-US"/>
        </w:rPr>
        <w:t xml:space="preserve">, UBC Press, 2005, σ. </w:t>
      </w:r>
      <w:r w:rsidRPr="00366878">
        <w:rPr>
          <w:lang w:val="en-GB"/>
        </w:rPr>
        <w:t>62.</w:t>
      </w:r>
      <w:r w:rsidRPr="00366878">
        <w:rPr>
          <w:lang w:val="en-US"/>
        </w:rPr>
        <w:t xml:space="preserve"> </w:t>
      </w:r>
      <w:r w:rsidRPr="00366878">
        <w:t xml:space="preserve">Αναλυτικότερα για τη σχετική προβληματική των στατιστικών λαθών τύπου Ι και τύπου ΙΙ, βλ., </w:t>
      </w:r>
      <w:r w:rsidRPr="00366878">
        <w:rPr>
          <w:i/>
        </w:rPr>
        <w:t>Γ. Μπάλια</w:t>
      </w:r>
      <w:r w:rsidRPr="00366878">
        <w:t>, Περιβαλλοντικοί κίνδυνοι: Διαπλοκή Επιστήμης, Δικαίου και Πολιτικής, ό.π., σ. 104-116.</w:t>
      </w:r>
    </w:p>
  </w:footnote>
  <w:footnote w:id="124">
    <w:p w:rsidR="008D4F0C" w:rsidRPr="00366878" w:rsidRDefault="008D4F0C" w:rsidP="008D4F0C">
      <w:pPr>
        <w:pStyle w:val="FootnoteText"/>
        <w:jc w:val="both"/>
      </w:pPr>
      <w:r w:rsidRPr="00366878">
        <w:rPr>
          <w:rStyle w:val="FootnoteReference"/>
        </w:rPr>
        <w:footnoteRef/>
      </w:r>
      <w:r w:rsidRPr="00366878">
        <w:rPr>
          <w:lang w:val="en-US"/>
        </w:rPr>
        <w:t xml:space="preserve"> </w:t>
      </w:r>
      <w:r w:rsidRPr="00366878">
        <w:rPr>
          <w:i/>
          <w:lang w:val="en-US"/>
        </w:rPr>
        <w:t>L. Buhl-Mortensen</w:t>
      </w:r>
      <w:r w:rsidRPr="00366878">
        <w:rPr>
          <w:lang w:val="en-US"/>
        </w:rPr>
        <w:t>, “Type II Statistical Errors in Environmental Science and the Precautionary Principle”, Marine Pollution Bulletin, Vol. 32(7), 1996</w:t>
      </w:r>
      <w:r w:rsidRPr="00366878">
        <w:rPr>
          <w:lang w:val="en-GB"/>
        </w:rPr>
        <w:t>,</w:t>
      </w:r>
      <w:r w:rsidRPr="00366878">
        <w:rPr>
          <w:lang w:val="en-US"/>
        </w:rPr>
        <w:t xml:space="preserve"> </w:t>
      </w:r>
      <w:r w:rsidRPr="00366878">
        <w:t>σ</w:t>
      </w:r>
      <w:r w:rsidRPr="00366878">
        <w:rPr>
          <w:lang w:val="en-US"/>
        </w:rPr>
        <w:t>. 529-530 (528</w:t>
      </w:r>
      <w:r w:rsidRPr="00366878">
        <w:t>επ</w:t>
      </w:r>
      <w:r w:rsidRPr="00366878">
        <w:rPr>
          <w:lang w:val="en-US"/>
        </w:rPr>
        <w:t>).</w:t>
      </w:r>
      <w:r w:rsidRPr="00366878">
        <w:rPr>
          <w:i/>
          <w:lang w:val="en-US"/>
        </w:rPr>
        <w:t xml:space="preserve"> J. Lemons, K. Shrader-Frechette, C. Cranor</w:t>
      </w:r>
      <w:r w:rsidRPr="00366878">
        <w:rPr>
          <w:lang w:val="en-US"/>
        </w:rPr>
        <w:t>, “The precautionary principle: scientific uncertainty and type I and type II errors”, Foundations of Science, No 2, 1997</w:t>
      </w:r>
      <w:r w:rsidRPr="00366878">
        <w:rPr>
          <w:lang w:val="en-GB"/>
        </w:rPr>
        <w:t>,</w:t>
      </w:r>
      <w:r w:rsidRPr="00366878">
        <w:rPr>
          <w:lang w:val="en-US"/>
        </w:rPr>
        <w:t xml:space="preserve"> </w:t>
      </w:r>
      <w:r w:rsidRPr="00366878">
        <w:t>σ</w:t>
      </w:r>
      <w:r w:rsidRPr="00366878">
        <w:rPr>
          <w:lang w:val="en-US"/>
        </w:rPr>
        <w:t xml:space="preserve">. 230 (209 </w:t>
      </w:r>
      <w:r w:rsidRPr="00366878">
        <w:t>επ</w:t>
      </w:r>
      <w:r w:rsidRPr="00366878">
        <w:rPr>
          <w:lang w:val="en-US"/>
        </w:rPr>
        <w:t>).</w:t>
      </w:r>
      <w:r w:rsidRPr="00366878">
        <w:rPr>
          <w:i/>
          <w:lang w:val="en-US"/>
        </w:rPr>
        <w:t xml:space="preserve"> </w:t>
      </w:r>
      <w:r w:rsidRPr="00366878">
        <w:rPr>
          <w:i/>
        </w:rPr>
        <w:t>Γ. Μπάλια</w:t>
      </w:r>
      <w:r w:rsidRPr="00366878">
        <w:t>, Περιβαλλοντικοί κίνδυνοι: Διαπλοκή Επιστήμης, Δικαίου και Πολιτικής, ό.π., σ. 169-175.</w:t>
      </w:r>
    </w:p>
  </w:footnote>
  <w:footnote w:id="125">
    <w:p w:rsidR="008D4F0C" w:rsidRPr="006766A8" w:rsidRDefault="008D4F0C" w:rsidP="008D4F0C">
      <w:pPr>
        <w:pStyle w:val="FootnoteText"/>
        <w:jc w:val="both"/>
      </w:pPr>
      <w:r>
        <w:rPr>
          <w:rStyle w:val="FootnoteReference"/>
        </w:rPr>
        <w:footnoteRef/>
      </w:r>
      <w:r w:rsidRPr="006766A8">
        <w:t xml:space="preserve"> </w:t>
      </w:r>
      <w:r>
        <w:t>Ενώ</w:t>
      </w:r>
      <w:r w:rsidRPr="006766A8">
        <w:t xml:space="preserve"> </w:t>
      </w:r>
      <w:r>
        <w:t xml:space="preserve">στο στάδιο της αξιολόγησης του κινδύνου η αρχή της προφύλαξης έχει τα στοιχεία που αναλύσαμε παραπάνω, στο στάδιο της διαχείρισης του κινδύνου έχει ευρύτερη λειτουργία διότι επιτρέπει στα αρμόδια όργανα να έχουν ευρεία διακριτική ευχέρεια στη λήψη της απόφασης, ακόμη και αντίθετα προς τα συμπεράσματα της επιστημονικής αξιολόγησης, ώστε να επιτευχθεί ο στόχος της υψηλού επιπέδου προστασίας του περιβάλλοντος. Βλ, ενδεικτικά, υπόθεση </w:t>
      </w:r>
      <w:r>
        <w:rPr>
          <w:lang w:val="en-US"/>
        </w:rPr>
        <w:t>T</w:t>
      </w:r>
      <w:r w:rsidRPr="006766A8">
        <w:t xml:space="preserve">-392/02 </w:t>
      </w:r>
      <w:r>
        <w:rPr>
          <w:lang w:val="en-US"/>
        </w:rPr>
        <w:t>Solvay</w:t>
      </w:r>
      <w:r w:rsidRPr="006766A8">
        <w:t xml:space="preserve"> </w:t>
      </w:r>
      <w:r>
        <w:rPr>
          <w:lang w:val="en-US"/>
        </w:rPr>
        <w:t>Pharmaceuticals</w:t>
      </w:r>
      <w:r w:rsidRPr="006766A8">
        <w:t xml:space="preserve"> </w:t>
      </w:r>
      <w:r>
        <w:t>κατά Συμβουλίου [2003] Συλλ ΙΙ-4555.</w:t>
      </w:r>
    </w:p>
  </w:footnote>
  <w:footnote w:id="126">
    <w:p w:rsidR="008D4F0C" w:rsidRPr="00366878" w:rsidRDefault="008D4F0C" w:rsidP="008D4F0C">
      <w:pPr>
        <w:pStyle w:val="FootnoteText"/>
        <w:jc w:val="both"/>
        <w:rPr>
          <w:lang w:val="en-US"/>
        </w:rPr>
      </w:pPr>
      <w:r w:rsidRPr="00366878">
        <w:rPr>
          <w:rStyle w:val="FootnoteReference"/>
        </w:rPr>
        <w:footnoteRef/>
      </w:r>
      <w:r w:rsidRPr="00366878">
        <w:rPr>
          <w:lang w:val="en-US"/>
        </w:rPr>
        <w:t xml:space="preserve"> </w:t>
      </w:r>
      <w:r w:rsidRPr="00366878">
        <w:rPr>
          <w:i/>
          <w:lang w:val="en-US"/>
        </w:rPr>
        <w:t>M. Kritikos,</w:t>
      </w:r>
      <w:r w:rsidRPr="00366878">
        <w:rPr>
          <w:lang w:val="en-US"/>
        </w:rPr>
        <w:t xml:space="preserve"> “Traditional risk analysis and release of GMOs into the European Union: Space for non-scientific factors?”, European Law Review, Vol. 34, June 2009, </w:t>
      </w:r>
      <w:r w:rsidRPr="00366878">
        <w:t>σ</w:t>
      </w:r>
      <w:r w:rsidRPr="00366878">
        <w:rPr>
          <w:lang w:val="en-US"/>
        </w:rPr>
        <w:t xml:space="preserve">. 405 </w:t>
      </w:r>
      <w:r w:rsidRPr="00366878">
        <w:t>επ</w:t>
      </w:r>
      <w:r w:rsidRPr="00366878">
        <w:rPr>
          <w:lang w:val="en-US"/>
        </w:rPr>
        <w:t xml:space="preserve">. </w:t>
      </w:r>
      <w:r w:rsidRPr="00366878">
        <w:rPr>
          <w:i/>
          <w:lang w:val="en-US"/>
        </w:rPr>
        <w:t>A. Szajkowska</w:t>
      </w:r>
      <w:r w:rsidRPr="00366878">
        <w:rPr>
          <w:lang w:val="en-US"/>
        </w:rPr>
        <w:t xml:space="preserve">, “The impact of the definition of the precautionary principle in EU Food Law”, Common Market Law Review, Vol. 47, 2010, </w:t>
      </w:r>
      <w:r w:rsidRPr="00366878">
        <w:t>σ</w:t>
      </w:r>
      <w:r w:rsidRPr="00366878">
        <w:rPr>
          <w:lang w:val="en-US"/>
        </w:rPr>
        <w:t xml:space="preserve">. 186 (173 </w:t>
      </w:r>
      <w:r w:rsidRPr="00366878">
        <w:t>επ</w:t>
      </w:r>
      <w:r w:rsidRPr="00366878">
        <w:rPr>
          <w:lang w:val="en-US"/>
        </w:rPr>
        <w:t>)</w:t>
      </w:r>
    </w:p>
  </w:footnote>
  <w:footnote w:id="127">
    <w:p w:rsidR="008D4F0C" w:rsidRPr="00366878" w:rsidRDefault="008D4F0C" w:rsidP="008D4F0C">
      <w:pPr>
        <w:pStyle w:val="FootnoteText"/>
        <w:jc w:val="both"/>
      </w:pPr>
      <w:r w:rsidRPr="00366878">
        <w:rPr>
          <w:rStyle w:val="FootnoteReference"/>
        </w:rPr>
        <w:footnoteRef/>
      </w:r>
      <w:r w:rsidRPr="00366878">
        <w:t xml:space="preserve"> Π.χ. Κανονισμός 1331/2008/ΕΚ για τα πρόσθετα τροφίμων, Κανονισμός 1394/2007/ΕΚ για ιατρικά προϊόντα, Κανονισμός 178/2002/ΕΚ για τα τρόφιμα κλπ.</w:t>
      </w:r>
    </w:p>
  </w:footnote>
  <w:footnote w:id="128">
    <w:p w:rsidR="008D4F0C" w:rsidRPr="00707F44" w:rsidRDefault="008D4F0C" w:rsidP="008D4F0C">
      <w:pPr>
        <w:pStyle w:val="FootnoteText"/>
        <w:jc w:val="both"/>
        <w:rPr>
          <w:lang w:val="en-US" w:bidi="th-TH"/>
        </w:rPr>
      </w:pPr>
      <w:r w:rsidRPr="00366878">
        <w:rPr>
          <w:rStyle w:val="FootnoteReference"/>
        </w:rPr>
        <w:footnoteRef/>
      </w:r>
      <w:r w:rsidRPr="00366878">
        <w:rPr>
          <w:lang w:val="en-US"/>
        </w:rPr>
        <w:t xml:space="preserve">  </w:t>
      </w:r>
      <w:r w:rsidRPr="00366878">
        <w:t>Βλ</w:t>
      </w:r>
      <w:r w:rsidRPr="00366878">
        <w:rPr>
          <w:lang w:val="en-US"/>
        </w:rPr>
        <w:t xml:space="preserve">., </w:t>
      </w:r>
      <w:r w:rsidRPr="00366878">
        <w:t>ενδεικτικά</w:t>
      </w:r>
      <w:r w:rsidRPr="00366878">
        <w:rPr>
          <w:lang w:val="en-US"/>
        </w:rPr>
        <w:t xml:space="preserve">, </w:t>
      </w:r>
      <w:r w:rsidRPr="00366878">
        <w:rPr>
          <w:i/>
          <w:iCs/>
          <w:lang w:val="en-US"/>
        </w:rPr>
        <w:t xml:space="preserve">H. Doremus, </w:t>
      </w:r>
      <w:r w:rsidRPr="00366878">
        <w:rPr>
          <w:lang w:val="en-US"/>
        </w:rPr>
        <w:t xml:space="preserve">“Precaution, Science, and Learning While Doing in Natural Resource Management”, Washington Law Review, Vol. 82, 2007, </w:t>
      </w:r>
      <w:r w:rsidRPr="00366878">
        <w:rPr>
          <w:lang w:bidi="th-TH"/>
        </w:rPr>
        <w:t>σ</w:t>
      </w:r>
      <w:r w:rsidRPr="00366878">
        <w:rPr>
          <w:lang w:val="en-US" w:bidi="th-TH"/>
        </w:rPr>
        <w:t xml:space="preserve">. 548. </w:t>
      </w:r>
      <w:r w:rsidRPr="00366878">
        <w:rPr>
          <w:i/>
          <w:iCs/>
          <w:lang w:val="en-US" w:bidi="th-TH"/>
        </w:rPr>
        <w:t xml:space="preserve">W.E. Wagner, </w:t>
      </w:r>
      <w:r w:rsidRPr="00366878">
        <w:rPr>
          <w:lang w:val="en-US" w:bidi="th-TH"/>
        </w:rPr>
        <w:t xml:space="preserve">“Commons Ignorance: The Failure of Environmental Law to Produce a Needed Information on Health and the Environment”, Duke Law Journal, Vol. 53, 2004, </w:t>
      </w:r>
      <w:r w:rsidRPr="00366878">
        <w:rPr>
          <w:lang w:bidi="th-TH"/>
        </w:rPr>
        <w:t>σ</w:t>
      </w:r>
      <w:r w:rsidRPr="00366878">
        <w:rPr>
          <w:lang w:val="en-US" w:bidi="th-TH"/>
        </w:rPr>
        <w:t>. 1625-33.</w:t>
      </w:r>
      <w:r w:rsidRPr="00707F44">
        <w:rPr>
          <w:lang w:val="en-US" w:bidi="th-TH"/>
        </w:rPr>
        <w:t xml:space="preserve"> </w:t>
      </w:r>
      <w:r>
        <w:rPr>
          <w:i/>
          <w:lang w:val="en-US" w:bidi="th-TH"/>
        </w:rPr>
        <w:t>K. Morrow</w:t>
      </w:r>
      <w:r>
        <w:rPr>
          <w:lang w:val="en-US" w:bidi="th-TH"/>
        </w:rPr>
        <w:t xml:space="preserve">, “Genetically Modified Organisms and Risk”, in: </w:t>
      </w:r>
      <w:r>
        <w:rPr>
          <w:i/>
          <w:lang w:val="en-US" w:bidi="th-TH"/>
        </w:rPr>
        <w:t xml:space="preserve">L. Bodiguel, M. Cardwell </w:t>
      </w:r>
      <w:r>
        <w:rPr>
          <w:lang w:val="en-US" w:bidi="th-TH"/>
        </w:rPr>
        <w:t>(eds), The Regulation of Genetically Modified Organisms,</w:t>
      </w:r>
      <w:r w:rsidRPr="00707F44">
        <w:rPr>
          <w:lang w:val="en-US" w:bidi="th-TH"/>
        </w:rPr>
        <w:t xml:space="preserve"> </w:t>
      </w:r>
      <w:r>
        <w:rPr>
          <w:lang w:bidi="th-TH"/>
        </w:rPr>
        <w:t>ό</w:t>
      </w:r>
      <w:r w:rsidRPr="00707F44">
        <w:rPr>
          <w:lang w:val="en-US" w:bidi="th-TH"/>
        </w:rPr>
        <w:t>.</w:t>
      </w:r>
      <w:r>
        <w:rPr>
          <w:lang w:bidi="th-TH"/>
        </w:rPr>
        <w:t>π</w:t>
      </w:r>
      <w:r w:rsidRPr="00707F44">
        <w:rPr>
          <w:lang w:val="en-US" w:bidi="th-TH"/>
        </w:rPr>
        <w:t xml:space="preserve">., </w:t>
      </w:r>
      <w:r>
        <w:rPr>
          <w:lang w:bidi="th-TH"/>
        </w:rPr>
        <w:t>σ</w:t>
      </w:r>
      <w:r w:rsidRPr="00707F44">
        <w:rPr>
          <w:lang w:val="en-US" w:bidi="th-TH"/>
        </w:rPr>
        <w:t xml:space="preserve">. </w:t>
      </w:r>
      <w:r>
        <w:rPr>
          <w:lang w:val="en-US" w:bidi="th-TH"/>
        </w:rPr>
        <w:t>5</w:t>
      </w:r>
      <w:r w:rsidRPr="00C674F2">
        <w:rPr>
          <w:lang w:val="en-US" w:bidi="th-TH"/>
        </w:rPr>
        <w:t>7</w:t>
      </w:r>
      <w:r w:rsidRPr="00707F44">
        <w:rPr>
          <w:lang w:val="en-US" w:bidi="th-TH"/>
        </w:rPr>
        <w:t>.</w:t>
      </w:r>
    </w:p>
  </w:footnote>
  <w:footnote w:id="129">
    <w:p w:rsidR="008D4F0C" w:rsidRPr="00366878" w:rsidRDefault="008D4F0C" w:rsidP="008D4F0C">
      <w:pPr>
        <w:pStyle w:val="FootnoteText"/>
        <w:jc w:val="both"/>
        <w:rPr>
          <w:lang w:val="en-GB"/>
        </w:rPr>
      </w:pPr>
      <w:r w:rsidRPr="00366878">
        <w:rPr>
          <w:rStyle w:val="FootnoteReference"/>
        </w:rPr>
        <w:footnoteRef/>
      </w:r>
      <w:r w:rsidRPr="00366878">
        <w:rPr>
          <w:lang w:val="en-US"/>
        </w:rPr>
        <w:t xml:space="preserve"> </w:t>
      </w:r>
      <w:r w:rsidRPr="00366878">
        <w:t>Αντί</w:t>
      </w:r>
      <w:r w:rsidRPr="00366878">
        <w:rPr>
          <w:lang w:val="en-GB"/>
        </w:rPr>
        <w:t xml:space="preserve"> </w:t>
      </w:r>
      <w:r w:rsidRPr="00366878">
        <w:t>πολλών</w:t>
      </w:r>
      <w:r w:rsidRPr="00366878">
        <w:rPr>
          <w:lang w:val="en-GB"/>
        </w:rPr>
        <w:t xml:space="preserve">, </w:t>
      </w:r>
      <w:r w:rsidRPr="00366878">
        <w:rPr>
          <w:i/>
          <w:lang w:val="en-GB"/>
        </w:rPr>
        <w:t>S. Jasanoff</w:t>
      </w:r>
      <w:r w:rsidRPr="00366878">
        <w:rPr>
          <w:lang w:val="en-GB"/>
        </w:rPr>
        <w:t xml:space="preserve">, The Fifth Branch: </w:t>
      </w:r>
      <w:r w:rsidRPr="00366878">
        <w:rPr>
          <w:lang w:val="en-US"/>
        </w:rPr>
        <w:t xml:space="preserve">Science Advisers as Policymakers, </w:t>
      </w:r>
      <w:smartTag w:uri="urn:schemas-microsoft-com:office:smarttags" w:element="place">
        <w:smartTag w:uri="urn:schemas-microsoft-com:office:smarttags" w:element="City">
          <w:r w:rsidRPr="00366878">
            <w:rPr>
              <w:lang w:val="en-US"/>
            </w:rPr>
            <w:t>Cambridge</w:t>
          </w:r>
        </w:smartTag>
        <w:r w:rsidRPr="00366878">
          <w:rPr>
            <w:lang w:val="en-US"/>
          </w:rPr>
          <w:t xml:space="preserve"> </w:t>
        </w:r>
        <w:smartTag w:uri="urn:schemas-microsoft-com:office:smarttags" w:element="State">
          <w:r w:rsidRPr="00366878">
            <w:rPr>
              <w:lang w:val="en-US"/>
            </w:rPr>
            <w:t>MA</w:t>
          </w:r>
        </w:smartTag>
      </w:smartTag>
      <w:r w:rsidRPr="00366878">
        <w:rPr>
          <w:lang w:val="en-US"/>
        </w:rPr>
        <w:t>/</w:t>
      </w:r>
      <w:smartTag w:uri="urn:schemas-microsoft-com:office:smarttags" w:element="City">
        <w:smartTag w:uri="urn:schemas-microsoft-com:office:smarttags" w:element="place">
          <w:r w:rsidRPr="00366878">
            <w:rPr>
              <w:lang w:val="en-US"/>
            </w:rPr>
            <w:t>London</w:t>
          </w:r>
        </w:smartTag>
      </w:smartTag>
      <w:r w:rsidRPr="00366878">
        <w:rPr>
          <w:lang w:val="en-US"/>
        </w:rPr>
        <w:t xml:space="preserve">, </w:t>
      </w:r>
      <w:smartTag w:uri="urn:schemas-microsoft-com:office:smarttags" w:element="place">
        <w:smartTag w:uri="urn:schemas-microsoft-com:office:smarttags" w:element="PlaceName">
          <w:r w:rsidRPr="00366878">
            <w:rPr>
              <w:lang w:val="en-US"/>
            </w:rPr>
            <w:t>Harvard</w:t>
          </w:r>
        </w:smartTag>
        <w:r w:rsidRPr="00366878">
          <w:rPr>
            <w:lang w:val="en-US"/>
          </w:rPr>
          <w:t xml:space="preserve"> </w:t>
        </w:r>
        <w:smartTag w:uri="urn:schemas-microsoft-com:office:smarttags" w:element="PlaceType">
          <w:r w:rsidRPr="00366878">
            <w:rPr>
              <w:lang w:val="en-US"/>
            </w:rPr>
            <w:t>University</w:t>
          </w:r>
        </w:smartTag>
      </w:smartTag>
      <w:r w:rsidRPr="00366878">
        <w:rPr>
          <w:lang w:val="en-US"/>
        </w:rPr>
        <w:t xml:space="preserve"> Press, 1990</w:t>
      </w:r>
      <w:r w:rsidRPr="00366878">
        <w:rPr>
          <w:lang w:val="en-GB"/>
        </w:rPr>
        <w:t xml:space="preserve">, </w:t>
      </w:r>
      <w:r w:rsidRPr="00366878">
        <w:t>σ</w:t>
      </w:r>
      <w:r w:rsidRPr="00366878">
        <w:rPr>
          <w:lang w:val="en-GB"/>
        </w:rPr>
        <w:t>. 1-19.</w:t>
      </w:r>
    </w:p>
  </w:footnote>
  <w:footnote w:id="130">
    <w:p w:rsidR="008D4F0C" w:rsidRPr="00366878" w:rsidRDefault="008D4F0C" w:rsidP="008D4F0C">
      <w:pPr>
        <w:pStyle w:val="FootnoteText"/>
        <w:jc w:val="both"/>
        <w:rPr>
          <w:lang w:val="en-US"/>
        </w:rPr>
      </w:pPr>
      <w:r w:rsidRPr="00366878">
        <w:rPr>
          <w:rStyle w:val="FootnoteReference"/>
        </w:rPr>
        <w:footnoteRef/>
      </w:r>
      <w:r w:rsidRPr="00366878">
        <w:rPr>
          <w:lang w:val="en-US"/>
        </w:rPr>
        <w:t xml:space="preserve"> </w:t>
      </w:r>
      <w:r w:rsidRPr="00366878">
        <w:rPr>
          <w:i/>
          <w:lang w:val="en-US"/>
        </w:rPr>
        <w:t>FAO</w:t>
      </w:r>
      <w:r w:rsidRPr="00366878">
        <w:rPr>
          <w:lang w:val="en-US"/>
        </w:rPr>
        <w:t xml:space="preserve">, Expert Consultation on Food Safety: Science and Ethics, </w:t>
      </w:r>
      <w:r w:rsidRPr="00366878">
        <w:t>ό</w:t>
      </w:r>
      <w:r w:rsidRPr="00366878">
        <w:rPr>
          <w:lang w:val="en-US"/>
        </w:rPr>
        <w:t>.</w:t>
      </w:r>
      <w:r w:rsidRPr="00366878">
        <w:t>π</w:t>
      </w:r>
      <w:r w:rsidRPr="00366878">
        <w:rPr>
          <w:lang w:val="en-US"/>
        </w:rPr>
        <w:t xml:space="preserve">., </w:t>
      </w:r>
      <w:r w:rsidRPr="00366878">
        <w:t>σ</w:t>
      </w:r>
      <w:r w:rsidRPr="00366878">
        <w:rPr>
          <w:lang w:val="en-US"/>
        </w:rPr>
        <w:t>. 6.</w:t>
      </w:r>
    </w:p>
  </w:footnote>
  <w:footnote w:id="131">
    <w:p w:rsidR="008D4F0C" w:rsidRPr="00366878" w:rsidRDefault="008D4F0C" w:rsidP="008D4F0C">
      <w:pPr>
        <w:pStyle w:val="FootnoteText"/>
        <w:jc w:val="both"/>
        <w:rPr>
          <w:lang w:val="en-GB"/>
        </w:rPr>
      </w:pPr>
      <w:r w:rsidRPr="00366878">
        <w:rPr>
          <w:rStyle w:val="FootnoteReference"/>
        </w:rPr>
        <w:footnoteRef/>
      </w:r>
      <w:r w:rsidRPr="00366878">
        <w:t xml:space="preserve"> Με τον όρο ‘‘πρόσληψη του κινδύνου’’ εννοούμε την πρακτική κρίση των ανθρώπων για την ύπαρξη και την αξιολόγησή του, η οποία στηρίζεται στην εμπειρία. Τα στοιχεία δε που την προσδιορίζουν είναι η εκούσια ή μη έκθεση στους κινδύνους, η ελεγξιμότητα, η εξοικείωση, η δίκαιη κατανομή τους, η άντληση ή μη ωφελειών, κλπ. Βλ</w:t>
      </w:r>
      <w:r w:rsidRPr="00366878">
        <w:rPr>
          <w:lang w:val="en-GB"/>
        </w:rPr>
        <w:t xml:space="preserve">., </w:t>
      </w:r>
      <w:r w:rsidRPr="00366878">
        <w:t>σχετ</w:t>
      </w:r>
      <w:r w:rsidRPr="00366878">
        <w:rPr>
          <w:lang w:val="en-GB"/>
        </w:rPr>
        <w:t xml:space="preserve">., </w:t>
      </w:r>
      <w:r w:rsidRPr="00366878">
        <w:rPr>
          <w:i/>
          <w:lang w:val="en-GB"/>
        </w:rPr>
        <w:t>P. Slovic</w:t>
      </w:r>
      <w:r w:rsidRPr="00366878">
        <w:rPr>
          <w:lang w:val="en-GB"/>
        </w:rPr>
        <w:t xml:space="preserve">, “Perception of Risk”, </w:t>
      </w:r>
      <w:r w:rsidRPr="00366878">
        <w:rPr>
          <w:lang w:val="en-US"/>
        </w:rPr>
        <w:t>Science</w:t>
      </w:r>
      <w:r w:rsidRPr="00366878">
        <w:rPr>
          <w:lang w:val="en-GB"/>
        </w:rPr>
        <w:t xml:space="preserve">, </w:t>
      </w:r>
      <w:r w:rsidRPr="00366878">
        <w:rPr>
          <w:lang w:val="en-US"/>
        </w:rPr>
        <w:t>Vol</w:t>
      </w:r>
      <w:r w:rsidRPr="00366878">
        <w:rPr>
          <w:lang w:val="en-GB"/>
        </w:rPr>
        <w:t xml:space="preserve">. 236, 17-4-1987, </w:t>
      </w:r>
      <w:r w:rsidRPr="00366878">
        <w:t>σ</w:t>
      </w:r>
      <w:r w:rsidRPr="00366878">
        <w:rPr>
          <w:lang w:val="en-GB"/>
        </w:rPr>
        <w:t xml:space="preserve">. 280-285. </w:t>
      </w:r>
    </w:p>
  </w:footnote>
  <w:footnote w:id="132">
    <w:p w:rsidR="008D4F0C" w:rsidRPr="00E96392" w:rsidRDefault="008D4F0C" w:rsidP="008D4F0C">
      <w:pPr>
        <w:pStyle w:val="FootnoteText"/>
        <w:jc w:val="both"/>
        <w:rPr>
          <w:lang w:val="en-US"/>
        </w:rPr>
      </w:pPr>
      <w:r w:rsidRPr="00366878">
        <w:rPr>
          <w:rStyle w:val="FootnoteReference"/>
        </w:rPr>
        <w:footnoteRef/>
      </w:r>
      <w:r w:rsidRPr="00366878">
        <w:rPr>
          <w:lang w:val="en-GB"/>
        </w:rPr>
        <w:t xml:space="preserve"> </w:t>
      </w:r>
      <w:r w:rsidRPr="00366878">
        <w:rPr>
          <w:i/>
          <w:lang w:val="en-US"/>
        </w:rPr>
        <w:t>M. Leach, I. Scoones</w:t>
      </w:r>
      <w:r w:rsidRPr="00366878">
        <w:rPr>
          <w:lang w:val="en-US"/>
        </w:rPr>
        <w:t xml:space="preserve">, “Science and citizenship in a global context”, in: M. Leach, I. Scoones &amp; B. Wynne (eds), Science and Citizens, </w:t>
      </w:r>
      <w:smartTag w:uri="urn:schemas-microsoft-com:office:smarttags" w:element="City">
        <w:smartTag w:uri="urn:schemas-microsoft-com:office:smarttags" w:element="place">
          <w:r w:rsidRPr="00366878">
            <w:rPr>
              <w:lang w:val="en-US"/>
            </w:rPr>
            <w:t>London</w:t>
          </w:r>
        </w:smartTag>
      </w:smartTag>
      <w:r w:rsidRPr="00366878">
        <w:rPr>
          <w:lang w:val="en-US"/>
        </w:rPr>
        <w:t>/</w:t>
      </w:r>
      <w:smartTag w:uri="urn:schemas-microsoft-com:office:smarttags" w:element="State">
        <w:smartTag w:uri="urn:schemas-microsoft-com:office:smarttags" w:element="place">
          <w:r w:rsidRPr="00366878">
            <w:rPr>
              <w:lang w:val="en-US"/>
            </w:rPr>
            <w:t>New York</w:t>
          </w:r>
        </w:smartTag>
      </w:smartTag>
      <w:r w:rsidRPr="00366878">
        <w:rPr>
          <w:lang w:val="en-US"/>
        </w:rPr>
        <w:t>, Zed Books, 2005</w:t>
      </w:r>
      <w:r w:rsidRPr="00366878">
        <w:rPr>
          <w:lang w:val="en-GB"/>
        </w:rPr>
        <w:t>,</w:t>
      </w:r>
      <w:r w:rsidRPr="00366878">
        <w:rPr>
          <w:lang w:val="en-US"/>
        </w:rPr>
        <w:t xml:space="preserve"> </w:t>
      </w:r>
      <w:r w:rsidRPr="00366878">
        <w:t>σ</w:t>
      </w:r>
      <w:r w:rsidRPr="00366878">
        <w:rPr>
          <w:lang w:val="en-GB"/>
        </w:rPr>
        <w:t>. 28-30.</w:t>
      </w:r>
      <w:r w:rsidRPr="00E96392">
        <w:rPr>
          <w:i/>
          <w:lang w:val="en-US"/>
        </w:rPr>
        <w:t xml:space="preserve"> </w:t>
      </w:r>
      <w:r>
        <w:rPr>
          <w:i/>
          <w:lang w:val="en-US"/>
        </w:rPr>
        <w:t>M</w:t>
      </w:r>
      <w:r w:rsidRPr="00AC02C8">
        <w:rPr>
          <w:i/>
          <w:lang w:val="en-US"/>
        </w:rPr>
        <w:t>.</w:t>
      </w:r>
      <w:r>
        <w:rPr>
          <w:i/>
          <w:lang w:val="en-US"/>
        </w:rPr>
        <w:t>B</w:t>
      </w:r>
      <w:r w:rsidRPr="00AC02C8">
        <w:rPr>
          <w:i/>
          <w:lang w:val="en-US"/>
        </w:rPr>
        <w:t>.</w:t>
      </w:r>
      <w:r>
        <w:rPr>
          <w:i/>
          <w:lang w:val="en-US"/>
        </w:rPr>
        <w:t>A</w:t>
      </w:r>
      <w:r w:rsidRPr="00AC02C8">
        <w:rPr>
          <w:i/>
          <w:lang w:val="en-US"/>
        </w:rPr>
        <w:t xml:space="preserve">. </w:t>
      </w:r>
      <w:r>
        <w:rPr>
          <w:i/>
          <w:lang w:val="en-US"/>
        </w:rPr>
        <w:t>van</w:t>
      </w:r>
      <w:r w:rsidRPr="00AC02C8">
        <w:rPr>
          <w:i/>
          <w:lang w:val="en-US"/>
        </w:rPr>
        <w:t xml:space="preserve"> </w:t>
      </w:r>
      <w:r>
        <w:rPr>
          <w:i/>
          <w:lang w:val="en-US"/>
        </w:rPr>
        <w:t>Asselt</w:t>
      </w:r>
      <w:r w:rsidRPr="00AC02C8">
        <w:rPr>
          <w:i/>
          <w:lang w:val="en-US"/>
        </w:rPr>
        <w:t xml:space="preserve">, </w:t>
      </w:r>
      <w:r>
        <w:rPr>
          <w:i/>
          <w:lang w:val="en-US"/>
        </w:rPr>
        <w:t>O</w:t>
      </w:r>
      <w:r w:rsidRPr="00AC02C8">
        <w:rPr>
          <w:i/>
          <w:lang w:val="en-US"/>
        </w:rPr>
        <w:t xml:space="preserve">. </w:t>
      </w:r>
      <w:r>
        <w:rPr>
          <w:i/>
          <w:lang w:val="en-US"/>
        </w:rPr>
        <w:t>Renn</w:t>
      </w:r>
      <w:r w:rsidRPr="00AC02C8">
        <w:rPr>
          <w:lang w:val="en-US"/>
        </w:rPr>
        <w:t>, “</w:t>
      </w:r>
      <w:r>
        <w:rPr>
          <w:lang w:val="en-US"/>
        </w:rPr>
        <w:t>Risk</w:t>
      </w:r>
      <w:r w:rsidRPr="00AC02C8">
        <w:rPr>
          <w:lang w:val="en-US"/>
        </w:rPr>
        <w:t xml:space="preserve"> </w:t>
      </w:r>
      <w:r>
        <w:rPr>
          <w:lang w:val="en-US"/>
        </w:rPr>
        <w:t>governance</w:t>
      </w:r>
      <w:r w:rsidRPr="00AC02C8">
        <w:rPr>
          <w:lang w:val="en-US"/>
        </w:rPr>
        <w:t xml:space="preserve">”, </w:t>
      </w:r>
      <w:r>
        <w:t>ό</w:t>
      </w:r>
      <w:r w:rsidRPr="00AC02C8">
        <w:rPr>
          <w:lang w:val="en-US"/>
        </w:rPr>
        <w:t>.</w:t>
      </w:r>
      <w:r>
        <w:t>π</w:t>
      </w:r>
      <w:r w:rsidRPr="00AC02C8">
        <w:rPr>
          <w:lang w:val="en-US"/>
        </w:rPr>
        <w:t xml:space="preserve">., </w:t>
      </w:r>
      <w:r>
        <w:t>σ</w:t>
      </w:r>
      <w:r w:rsidRPr="00AC02C8">
        <w:rPr>
          <w:lang w:val="en-US"/>
        </w:rPr>
        <w:t>.</w:t>
      </w:r>
      <w:r w:rsidRPr="00E96392">
        <w:rPr>
          <w:lang w:val="en-US"/>
        </w:rPr>
        <w:t xml:space="preserve"> 442</w:t>
      </w:r>
    </w:p>
  </w:footnote>
  <w:footnote w:id="133">
    <w:p w:rsidR="008D4F0C" w:rsidRPr="00366878" w:rsidRDefault="008D4F0C" w:rsidP="008D4F0C">
      <w:pPr>
        <w:pStyle w:val="FootnoteText"/>
        <w:rPr>
          <w:lang w:val="en-US"/>
        </w:rPr>
      </w:pPr>
      <w:r w:rsidRPr="00366878">
        <w:rPr>
          <w:rStyle w:val="FootnoteReference"/>
        </w:rPr>
        <w:footnoteRef/>
      </w:r>
      <w:r w:rsidRPr="00366878">
        <w:rPr>
          <w:lang w:val="en-US"/>
        </w:rPr>
        <w:t xml:space="preserve"> </w:t>
      </w:r>
      <w:r w:rsidRPr="00366878">
        <w:rPr>
          <w:i/>
          <w:lang w:val="en-US"/>
        </w:rPr>
        <w:t>FAO</w:t>
      </w:r>
      <w:r w:rsidRPr="00366878">
        <w:rPr>
          <w:lang w:val="en-US"/>
        </w:rPr>
        <w:t xml:space="preserve">, Expert Consultation on Food Safety: Science and Ethics, </w:t>
      </w:r>
      <w:r w:rsidRPr="00366878">
        <w:t>ό</w:t>
      </w:r>
      <w:r w:rsidRPr="00366878">
        <w:rPr>
          <w:lang w:val="en-US"/>
        </w:rPr>
        <w:t>.</w:t>
      </w:r>
      <w:r w:rsidRPr="00366878">
        <w:t>π</w:t>
      </w:r>
      <w:r w:rsidRPr="00366878">
        <w:rPr>
          <w:lang w:val="en-US"/>
        </w:rPr>
        <w:t xml:space="preserve">., </w:t>
      </w:r>
      <w:r w:rsidRPr="00366878">
        <w:t>σ</w:t>
      </w:r>
      <w:r w:rsidRPr="00366878">
        <w:rPr>
          <w:lang w:val="en-US"/>
        </w:rPr>
        <w:t>. 18.</w:t>
      </w:r>
    </w:p>
  </w:footnote>
  <w:footnote w:id="134">
    <w:p w:rsidR="008D4F0C" w:rsidRPr="00636428" w:rsidRDefault="008D4F0C" w:rsidP="008D4F0C">
      <w:pPr>
        <w:pStyle w:val="FootnoteText"/>
        <w:jc w:val="both"/>
        <w:rPr>
          <w:lang w:val="en-US"/>
        </w:rPr>
      </w:pPr>
      <w:r>
        <w:rPr>
          <w:rStyle w:val="FootnoteReference"/>
        </w:rPr>
        <w:footnoteRef/>
      </w:r>
      <w:r w:rsidRPr="00636428">
        <w:rPr>
          <w:lang w:val="en-US"/>
        </w:rPr>
        <w:t xml:space="preserve"> </w:t>
      </w:r>
      <w:r>
        <w:rPr>
          <w:i/>
          <w:lang w:val="en-US"/>
        </w:rPr>
        <w:t>M</w:t>
      </w:r>
      <w:r w:rsidRPr="00AC02C8">
        <w:rPr>
          <w:i/>
          <w:lang w:val="en-US"/>
        </w:rPr>
        <w:t>.</w:t>
      </w:r>
      <w:r>
        <w:rPr>
          <w:i/>
          <w:lang w:val="en-US"/>
        </w:rPr>
        <w:t>B</w:t>
      </w:r>
      <w:r w:rsidRPr="00AC02C8">
        <w:rPr>
          <w:i/>
          <w:lang w:val="en-US"/>
        </w:rPr>
        <w:t>.</w:t>
      </w:r>
      <w:r>
        <w:rPr>
          <w:i/>
          <w:lang w:val="en-US"/>
        </w:rPr>
        <w:t>A</w:t>
      </w:r>
      <w:r w:rsidRPr="00AC02C8">
        <w:rPr>
          <w:i/>
          <w:lang w:val="en-US"/>
        </w:rPr>
        <w:t xml:space="preserve">. </w:t>
      </w:r>
      <w:r>
        <w:rPr>
          <w:i/>
          <w:lang w:val="en-US"/>
        </w:rPr>
        <w:t>van</w:t>
      </w:r>
      <w:r w:rsidRPr="00AC02C8">
        <w:rPr>
          <w:i/>
          <w:lang w:val="en-US"/>
        </w:rPr>
        <w:t xml:space="preserve"> </w:t>
      </w:r>
      <w:r>
        <w:rPr>
          <w:i/>
          <w:lang w:val="en-US"/>
        </w:rPr>
        <w:t>Asselt</w:t>
      </w:r>
      <w:r w:rsidRPr="00AC02C8">
        <w:rPr>
          <w:i/>
          <w:lang w:val="en-US"/>
        </w:rPr>
        <w:t xml:space="preserve">, </w:t>
      </w:r>
      <w:r>
        <w:rPr>
          <w:i/>
          <w:lang w:val="en-US"/>
        </w:rPr>
        <w:t>O</w:t>
      </w:r>
      <w:r w:rsidRPr="00AC02C8">
        <w:rPr>
          <w:i/>
          <w:lang w:val="en-US"/>
        </w:rPr>
        <w:t xml:space="preserve">. </w:t>
      </w:r>
      <w:r>
        <w:rPr>
          <w:i/>
          <w:lang w:val="en-US"/>
        </w:rPr>
        <w:t>Renn</w:t>
      </w:r>
      <w:r w:rsidRPr="00AC02C8">
        <w:rPr>
          <w:lang w:val="en-US"/>
        </w:rPr>
        <w:t>, “</w:t>
      </w:r>
      <w:r>
        <w:rPr>
          <w:lang w:val="en-US"/>
        </w:rPr>
        <w:t>Risk</w:t>
      </w:r>
      <w:r w:rsidRPr="00AC02C8">
        <w:rPr>
          <w:lang w:val="en-US"/>
        </w:rPr>
        <w:t xml:space="preserve"> </w:t>
      </w:r>
      <w:r>
        <w:rPr>
          <w:lang w:val="en-US"/>
        </w:rPr>
        <w:t>governance</w:t>
      </w:r>
      <w:r w:rsidRPr="00AC02C8">
        <w:rPr>
          <w:lang w:val="en-US"/>
        </w:rPr>
        <w:t xml:space="preserve">”, </w:t>
      </w:r>
      <w:r>
        <w:t>ό</w:t>
      </w:r>
      <w:r w:rsidRPr="00AC02C8">
        <w:rPr>
          <w:lang w:val="en-US"/>
        </w:rPr>
        <w:t>.</w:t>
      </w:r>
      <w:r>
        <w:t>π</w:t>
      </w:r>
      <w:r w:rsidRPr="00AC02C8">
        <w:rPr>
          <w:lang w:val="en-US"/>
        </w:rPr>
        <w:t xml:space="preserve">., </w:t>
      </w:r>
      <w:r>
        <w:t>σ</w:t>
      </w:r>
      <w:r w:rsidRPr="00AC02C8">
        <w:rPr>
          <w:lang w:val="en-US"/>
        </w:rPr>
        <w:t>.</w:t>
      </w:r>
      <w:r w:rsidRPr="00E96392">
        <w:rPr>
          <w:lang w:val="en-US"/>
        </w:rPr>
        <w:t xml:space="preserve"> 442</w:t>
      </w:r>
      <w:r w:rsidRPr="00636428">
        <w:rPr>
          <w:lang w:val="en-US"/>
        </w:rPr>
        <w:t>.</w:t>
      </w:r>
    </w:p>
  </w:footnote>
  <w:footnote w:id="135">
    <w:p w:rsidR="008D4F0C" w:rsidRPr="00366878" w:rsidRDefault="008D4F0C" w:rsidP="008D4F0C">
      <w:pPr>
        <w:pStyle w:val="FootnoteText"/>
        <w:jc w:val="both"/>
        <w:rPr>
          <w:lang w:val="en-US"/>
        </w:rPr>
      </w:pPr>
      <w:r w:rsidRPr="00366878">
        <w:rPr>
          <w:rStyle w:val="FootnoteReference"/>
        </w:rPr>
        <w:footnoteRef/>
      </w:r>
      <w:r w:rsidRPr="00366878">
        <w:rPr>
          <w:lang w:val="en-US"/>
        </w:rPr>
        <w:t xml:space="preserve"> </w:t>
      </w:r>
      <w:r w:rsidRPr="00366878">
        <w:rPr>
          <w:i/>
          <w:lang w:val="en-US"/>
        </w:rPr>
        <w:t>Final Report of the PABE research project</w:t>
      </w:r>
      <w:r w:rsidRPr="00366878">
        <w:rPr>
          <w:lang w:val="en-US"/>
        </w:rPr>
        <w:t xml:space="preserve">, Public Perceptions of Agricultural Biotechnologies in Europe, 2001.  </w:t>
      </w:r>
    </w:p>
  </w:footnote>
  <w:footnote w:id="136">
    <w:p w:rsidR="008D4F0C" w:rsidRPr="00957BE0" w:rsidRDefault="008D4F0C" w:rsidP="008D4F0C">
      <w:pPr>
        <w:pStyle w:val="FootnoteText"/>
        <w:rPr>
          <w:lang w:val="en-US"/>
        </w:rPr>
      </w:pPr>
      <w:r w:rsidRPr="00366878">
        <w:rPr>
          <w:rStyle w:val="FootnoteReference"/>
        </w:rPr>
        <w:footnoteRef/>
      </w:r>
      <w:r w:rsidRPr="00366878">
        <w:rPr>
          <w:lang w:val="en-US"/>
        </w:rPr>
        <w:t xml:space="preserve"> </w:t>
      </w:r>
      <w:r w:rsidRPr="00366878">
        <w:rPr>
          <w:i/>
          <w:lang w:val="en-US"/>
        </w:rPr>
        <w:t>Ibid.</w:t>
      </w:r>
      <w:r w:rsidRPr="00366878">
        <w:rPr>
          <w:lang w:val="en-US"/>
        </w:rPr>
        <w:t xml:space="preserve">, </w:t>
      </w:r>
      <w:r w:rsidRPr="00366878">
        <w:t>σ</w:t>
      </w:r>
      <w:r w:rsidRPr="00957BE0">
        <w:rPr>
          <w:lang w:val="en-US"/>
        </w:rPr>
        <w:t xml:space="preserve">. 9. </w:t>
      </w:r>
    </w:p>
  </w:footnote>
  <w:footnote w:id="137">
    <w:p w:rsidR="008D4F0C" w:rsidRPr="00654799" w:rsidRDefault="008D4F0C" w:rsidP="008D4F0C">
      <w:pPr>
        <w:pStyle w:val="FootnoteText"/>
        <w:jc w:val="both"/>
        <w:rPr>
          <w:lang w:val="en-US"/>
        </w:rPr>
      </w:pPr>
      <w:r>
        <w:rPr>
          <w:rStyle w:val="FootnoteReference"/>
        </w:rPr>
        <w:footnoteRef/>
      </w:r>
      <w:r w:rsidRPr="00654799">
        <w:rPr>
          <w:lang w:val="en-US"/>
        </w:rPr>
        <w:t xml:space="preserve"> </w:t>
      </w:r>
      <w:r>
        <w:rPr>
          <w:i/>
          <w:lang w:val="en-US"/>
        </w:rPr>
        <w:t>P. Slovic et al.</w:t>
      </w:r>
      <w:r>
        <w:rPr>
          <w:lang w:val="en-US"/>
        </w:rPr>
        <w:t xml:space="preserve">, “Risk as analysis and risk as feelings: Some thoughts about effect, reason, risk, and rationality”, Risk Analysis, Vol. 24, 2004, </w:t>
      </w:r>
      <w:r>
        <w:t>σ</w:t>
      </w:r>
      <w:r w:rsidRPr="00654799">
        <w:rPr>
          <w:lang w:val="en-US"/>
        </w:rPr>
        <w:t xml:space="preserve">. 311 </w:t>
      </w:r>
      <w:r>
        <w:t>επ</w:t>
      </w:r>
      <w:r w:rsidRPr="00654799">
        <w:rPr>
          <w:lang w:val="en-US"/>
        </w:rPr>
        <w:t>.</w:t>
      </w:r>
    </w:p>
  </w:footnote>
  <w:footnote w:id="138">
    <w:p w:rsidR="008D4F0C" w:rsidRPr="00654799" w:rsidRDefault="008D4F0C" w:rsidP="008D4F0C">
      <w:pPr>
        <w:pStyle w:val="FootnoteText"/>
        <w:jc w:val="both"/>
        <w:rPr>
          <w:lang w:val="en-US"/>
        </w:rPr>
      </w:pPr>
      <w:r>
        <w:rPr>
          <w:rStyle w:val="FootnoteReference"/>
        </w:rPr>
        <w:footnoteRef/>
      </w:r>
      <w:r w:rsidRPr="008E7250">
        <w:rPr>
          <w:lang w:val="en-US"/>
        </w:rPr>
        <w:t xml:space="preserve"> </w:t>
      </w:r>
      <w:r w:rsidRPr="00BE7FD0">
        <w:rPr>
          <w:i/>
          <w:lang w:val="en-US"/>
        </w:rPr>
        <w:t xml:space="preserve"> </w:t>
      </w:r>
      <w:r>
        <w:rPr>
          <w:i/>
          <w:lang w:val="en-US"/>
        </w:rPr>
        <w:t>Final Report of the PABE research project</w:t>
      </w:r>
      <w:r>
        <w:rPr>
          <w:lang w:val="en-US"/>
        </w:rPr>
        <w:t>, Public Perceptions of Agricultural Biotechnologies in Europe</w:t>
      </w:r>
      <w:r w:rsidRPr="00654799">
        <w:rPr>
          <w:lang w:val="en-US"/>
        </w:rPr>
        <w:t xml:space="preserve">, </w:t>
      </w:r>
      <w:r>
        <w:t>ό</w:t>
      </w:r>
      <w:r w:rsidRPr="00654799">
        <w:rPr>
          <w:lang w:val="en-US"/>
        </w:rPr>
        <w:t>.</w:t>
      </w:r>
      <w:r>
        <w:t>π</w:t>
      </w:r>
      <w:r w:rsidRPr="00654799">
        <w:rPr>
          <w:lang w:val="en-US"/>
        </w:rPr>
        <w:t xml:space="preserve">., </w:t>
      </w:r>
      <w:r>
        <w:t>σ</w:t>
      </w:r>
      <w:r w:rsidRPr="00654799">
        <w:rPr>
          <w:lang w:val="en-US"/>
        </w:rPr>
        <w:t>. 9.</w:t>
      </w:r>
    </w:p>
  </w:footnote>
  <w:footnote w:id="139">
    <w:p w:rsidR="008D4F0C" w:rsidRPr="00BE7FD0" w:rsidRDefault="008D4F0C" w:rsidP="008D4F0C">
      <w:pPr>
        <w:pStyle w:val="FootnoteText"/>
        <w:jc w:val="both"/>
        <w:rPr>
          <w:lang w:val="en-US"/>
        </w:rPr>
      </w:pPr>
      <w:r>
        <w:rPr>
          <w:rStyle w:val="FootnoteReference"/>
        </w:rPr>
        <w:footnoteRef/>
      </w:r>
      <w:r w:rsidRPr="00BE7FD0">
        <w:rPr>
          <w:lang w:val="en-US"/>
        </w:rPr>
        <w:t xml:space="preserve"> </w:t>
      </w:r>
      <w:r>
        <w:rPr>
          <w:i/>
          <w:lang w:val="en-US"/>
        </w:rPr>
        <w:t>A. Irwin</w:t>
      </w:r>
      <w:r>
        <w:rPr>
          <w:lang w:val="en-US"/>
        </w:rPr>
        <w:t xml:space="preserve">, “The Politics of Talk: Coming to Terms with the “New” Scientific Governance”, Social Studies of Science, Vol. 36, 2006, </w:t>
      </w:r>
      <w:r>
        <w:t>σ</w:t>
      </w:r>
      <w:r w:rsidRPr="00BE7FD0">
        <w:rPr>
          <w:lang w:val="en-US"/>
        </w:rPr>
        <w:t>. 302.</w:t>
      </w:r>
    </w:p>
  </w:footnote>
  <w:footnote w:id="140">
    <w:p w:rsidR="008D4F0C" w:rsidRPr="00094FF5" w:rsidRDefault="008D4F0C" w:rsidP="008D4F0C">
      <w:pPr>
        <w:pStyle w:val="FootnoteText"/>
        <w:jc w:val="both"/>
        <w:rPr>
          <w:lang w:val="en-US"/>
        </w:rPr>
      </w:pPr>
      <w:r>
        <w:rPr>
          <w:rStyle w:val="FootnoteReference"/>
        </w:rPr>
        <w:footnoteRef/>
      </w:r>
      <w:r w:rsidRPr="00094FF5">
        <w:rPr>
          <w:lang w:val="en-US"/>
        </w:rPr>
        <w:t xml:space="preserve"> </w:t>
      </w:r>
      <w:r>
        <w:rPr>
          <w:i/>
          <w:lang w:val="en-US"/>
        </w:rPr>
        <w:t xml:space="preserve">D. Winickoff et al., </w:t>
      </w:r>
      <w:r>
        <w:rPr>
          <w:lang w:val="en-US"/>
        </w:rPr>
        <w:t xml:space="preserve">“Adjudicating the GM Food Wars: Science, Risk, and Democracy in World Trade Law”, The Yale Journal of International Law, Vol. 30, 2005, </w:t>
      </w:r>
      <w:r>
        <w:t>σ</w:t>
      </w:r>
      <w:r w:rsidRPr="00094FF5">
        <w:rPr>
          <w:lang w:val="en-US"/>
        </w:rPr>
        <w:t>. 94.</w:t>
      </w:r>
    </w:p>
  </w:footnote>
  <w:footnote w:id="141">
    <w:p w:rsidR="008D4F0C" w:rsidRPr="00C07E4D" w:rsidRDefault="008D4F0C" w:rsidP="008D4F0C">
      <w:pPr>
        <w:pStyle w:val="FootnoteText"/>
        <w:rPr>
          <w:lang w:val="en-US"/>
        </w:rPr>
      </w:pPr>
      <w:r>
        <w:rPr>
          <w:rStyle w:val="FootnoteReference"/>
        </w:rPr>
        <w:footnoteRef/>
      </w:r>
      <w:r w:rsidRPr="00391A8A">
        <w:rPr>
          <w:lang w:val="en-US"/>
        </w:rPr>
        <w:t xml:space="preserve"> </w:t>
      </w:r>
      <w:r w:rsidRPr="001971B0">
        <w:rPr>
          <w:i/>
          <w:lang w:val="en-US"/>
        </w:rPr>
        <w:t>Ibid.</w:t>
      </w:r>
      <w:r w:rsidRPr="00C07E4D">
        <w:rPr>
          <w:i/>
          <w:lang w:val="en-US"/>
        </w:rPr>
        <w:t xml:space="preserve"> </w:t>
      </w:r>
    </w:p>
  </w:footnote>
  <w:footnote w:id="142">
    <w:p w:rsidR="008D4F0C" w:rsidRPr="00FF6BC4" w:rsidRDefault="008D4F0C" w:rsidP="008D4F0C">
      <w:pPr>
        <w:pStyle w:val="FootnoteText"/>
        <w:jc w:val="both"/>
        <w:rPr>
          <w:lang w:val="en-US"/>
        </w:rPr>
      </w:pPr>
      <w:r>
        <w:rPr>
          <w:rStyle w:val="FootnoteReference"/>
        </w:rPr>
        <w:footnoteRef/>
      </w:r>
      <w:r w:rsidRPr="00C07E4D">
        <w:rPr>
          <w:lang w:val="en-US"/>
        </w:rPr>
        <w:t xml:space="preserve"> </w:t>
      </w:r>
      <w:r w:rsidRPr="00F951F7">
        <w:rPr>
          <w:i/>
          <w:lang w:val="en-US"/>
        </w:rPr>
        <w:t>FAO</w:t>
      </w:r>
      <w:r w:rsidRPr="00F951F7">
        <w:rPr>
          <w:lang w:val="en-US"/>
        </w:rPr>
        <w:t xml:space="preserve">, </w:t>
      </w:r>
      <w:r>
        <w:rPr>
          <w:lang w:val="en-US"/>
        </w:rPr>
        <w:t>Expert</w:t>
      </w:r>
      <w:r w:rsidRPr="00F951F7">
        <w:rPr>
          <w:lang w:val="en-US"/>
        </w:rPr>
        <w:t xml:space="preserve"> </w:t>
      </w:r>
      <w:r>
        <w:rPr>
          <w:lang w:val="en-US"/>
        </w:rPr>
        <w:t>Consultation</w:t>
      </w:r>
      <w:r w:rsidRPr="00F951F7">
        <w:rPr>
          <w:lang w:val="en-US"/>
        </w:rPr>
        <w:t xml:space="preserve"> </w:t>
      </w:r>
      <w:r>
        <w:rPr>
          <w:lang w:val="en-US"/>
        </w:rPr>
        <w:t>on</w:t>
      </w:r>
      <w:r w:rsidRPr="00F951F7">
        <w:rPr>
          <w:lang w:val="en-US"/>
        </w:rPr>
        <w:t xml:space="preserve"> </w:t>
      </w:r>
      <w:r>
        <w:rPr>
          <w:lang w:val="en-US"/>
        </w:rPr>
        <w:t>Food</w:t>
      </w:r>
      <w:r w:rsidRPr="00F951F7">
        <w:rPr>
          <w:lang w:val="en-US"/>
        </w:rPr>
        <w:t xml:space="preserve"> </w:t>
      </w:r>
      <w:r>
        <w:rPr>
          <w:lang w:val="en-US"/>
        </w:rPr>
        <w:t>Safety</w:t>
      </w:r>
      <w:r w:rsidRPr="00F951F7">
        <w:rPr>
          <w:lang w:val="en-US"/>
        </w:rPr>
        <w:t xml:space="preserve">: </w:t>
      </w:r>
      <w:r>
        <w:rPr>
          <w:lang w:val="en-US"/>
        </w:rPr>
        <w:t>Science</w:t>
      </w:r>
      <w:r w:rsidRPr="00F951F7">
        <w:rPr>
          <w:lang w:val="en-US"/>
        </w:rPr>
        <w:t xml:space="preserve"> </w:t>
      </w:r>
      <w:r>
        <w:rPr>
          <w:lang w:val="en-US"/>
        </w:rPr>
        <w:t>and</w:t>
      </w:r>
      <w:r w:rsidRPr="00F951F7">
        <w:rPr>
          <w:lang w:val="en-US"/>
        </w:rPr>
        <w:t xml:space="preserve"> </w:t>
      </w:r>
      <w:r>
        <w:rPr>
          <w:lang w:val="en-US"/>
        </w:rPr>
        <w:t>Ethics</w:t>
      </w:r>
      <w:r w:rsidRPr="00F951F7">
        <w:rPr>
          <w:lang w:val="en-US"/>
        </w:rPr>
        <w:t xml:space="preserve">, </w:t>
      </w:r>
      <w:r>
        <w:t>ό</w:t>
      </w:r>
      <w:r w:rsidRPr="00F951F7">
        <w:rPr>
          <w:lang w:val="en-US"/>
        </w:rPr>
        <w:t>.</w:t>
      </w:r>
      <w:r>
        <w:t>π</w:t>
      </w:r>
      <w:r w:rsidRPr="00F951F7">
        <w:rPr>
          <w:lang w:val="en-US"/>
        </w:rPr>
        <w:t xml:space="preserve">., </w:t>
      </w:r>
      <w:r>
        <w:t>σ</w:t>
      </w:r>
      <w:r w:rsidRPr="00F951F7">
        <w:rPr>
          <w:lang w:val="en-US"/>
        </w:rPr>
        <w:t>.</w:t>
      </w:r>
      <w:r w:rsidRPr="00FF6BC4">
        <w:rPr>
          <w:lang w:val="en-US"/>
        </w:rPr>
        <w:t xml:space="preserve"> </w:t>
      </w:r>
      <w:r>
        <w:rPr>
          <w:lang w:val="en-US"/>
        </w:rPr>
        <w:t>1</w:t>
      </w:r>
      <w:r w:rsidRPr="00B46727">
        <w:rPr>
          <w:lang w:val="en-US"/>
        </w:rPr>
        <w:t>7-18</w:t>
      </w:r>
      <w:r w:rsidRPr="00FF6BC4">
        <w:rPr>
          <w:lang w:val="en-US"/>
        </w:rPr>
        <w:t>.</w:t>
      </w:r>
    </w:p>
  </w:footnote>
  <w:footnote w:id="143">
    <w:p w:rsidR="008D4F0C" w:rsidRPr="005E2829" w:rsidRDefault="008D4F0C" w:rsidP="008D4F0C">
      <w:pPr>
        <w:pStyle w:val="FootnoteText"/>
        <w:rPr>
          <w:lang w:val="en-US"/>
        </w:rPr>
      </w:pPr>
      <w:r>
        <w:rPr>
          <w:rStyle w:val="FootnoteReference"/>
        </w:rPr>
        <w:footnoteRef/>
      </w:r>
      <w:r w:rsidRPr="002003AF">
        <w:rPr>
          <w:lang w:val="en-US"/>
        </w:rPr>
        <w:t xml:space="preserve"> </w:t>
      </w:r>
      <w:r w:rsidRPr="001971B0">
        <w:rPr>
          <w:i/>
          <w:lang w:val="en-US"/>
        </w:rPr>
        <w:t>Ibid</w:t>
      </w:r>
      <w:r w:rsidRPr="005E2829">
        <w:rPr>
          <w:i/>
          <w:lang w:val="en-US"/>
        </w:rPr>
        <w:t>,</w:t>
      </w:r>
      <w:r w:rsidRPr="001971B0">
        <w:rPr>
          <w:i/>
          <w:lang w:val="en-US"/>
        </w:rPr>
        <w:t>.</w:t>
      </w:r>
      <w:r w:rsidRPr="00C07E4D">
        <w:rPr>
          <w:i/>
          <w:lang w:val="en-US"/>
        </w:rPr>
        <w:t xml:space="preserve"> </w:t>
      </w:r>
      <w:r>
        <w:t>σ</w:t>
      </w:r>
      <w:r w:rsidRPr="005E2829">
        <w:rPr>
          <w:lang w:val="en-US"/>
        </w:rPr>
        <w:t xml:space="preserve">. 18. </w:t>
      </w:r>
    </w:p>
  </w:footnote>
  <w:footnote w:id="144">
    <w:p w:rsidR="008D4F0C" w:rsidRPr="005E2829" w:rsidRDefault="008D4F0C" w:rsidP="008D4F0C">
      <w:pPr>
        <w:pStyle w:val="FootnoteText"/>
        <w:rPr>
          <w:lang w:val="en-US"/>
        </w:rPr>
      </w:pPr>
      <w:r>
        <w:rPr>
          <w:rStyle w:val="FootnoteReference"/>
        </w:rPr>
        <w:footnoteRef/>
      </w:r>
      <w:r w:rsidRPr="005E2829">
        <w:rPr>
          <w:lang w:val="en-US"/>
        </w:rPr>
        <w:t xml:space="preserve"> </w:t>
      </w:r>
      <w:r w:rsidRPr="001971B0">
        <w:rPr>
          <w:i/>
          <w:lang w:val="en-US"/>
        </w:rPr>
        <w:t>Ibid.</w:t>
      </w:r>
      <w:r w:rsidRPr="005E2829">
        <w:rPr>
          <w:i/>
          <w:lang w:val="en-US"/>
        </w:rPr>
        <w:t xml:space="preserve"> </w:t>
      </w:r>
    </w:p>
  </w:footnote>
  <w:footnote w:id="145">
    <w:p w:rsidR="008D4F0C" w:rsidRPr="00957BE0" w:rsidRDefault="008D4F0C" w:rsidP="008D4F0C">
      <w:pPr>
        <w:pStyle w:val="FootnoteText"/>
        <w:rPr>
          <w:lang w:val="en-US"/>
        </w:rPr>
      </w:pPr>
      <w:r>
        <w:rPr>
          <w:rStyle w:val="FootnoteReference"/>
        </w:rPr>
        <w:footnoteRef/>
      </w:r>
      <w:r w:rsidRPr="00957BE0">
        <w:rPr>
          <w:lang w:val="en-US"/>
        </w:rPr>
        <w:t xml:space="preserve"> </w:t>
      </w:r>
      <w:r w:rsidRPr="001971B0">
        <w:rPr>
          <w:i/>
          <w:lang w:val="en-US"/>
        </w:rPr>
        <w:t>Ibid</w:t>
      </w:r>
      <w:r w:rsidRPr="00957BE0">
        <w:rPr>
          <w:i/>
          <w:lang w:val="en-US"/>
        </w:rPr>
        <w:t xml:space="preserve">,. </w:t>
      </w:r>
      <w:r>
        <w:t>σ</w:t>
      </w:r>
      <w:r w:rsidRPr="00957BE0">
        <w:rPr>
          <w:lang w:val="en-US"/>
        </w:rPr>
        <w:t>. 21.</w:t>
      </w:r>
    </w:p>
  </w:footnote>
  <w:footnote w:id="146">
    <w:p w:rsidR="008D4F0C" w:rsidRDefault="008D4F0C" w:rsidP="008D4F0C">
      <w:pPr>
        <w:pStyle w:val="FootnoteText"/>
      </w:pPr>
      <w:r>
        <w:rPr>
          <w:rStyle w:val="FootnoteReference"/>
        </w:rPr>
        <w:footnoteRef/>
      </w:r>
      <w:r>
        <w:t xml:space="preserve"> Προοίμιο, αιτιολογική σκέψη αριθ. 32 του Κανονισμού 1829/2003/ΕΚ.</w:t>
      </w:r>
    </w:p>
  </w:footnote>
  <w:footnote w:id="147">
    <w:p w:rsidR="008D4F0C" w:rsidRPr="00FF4515" w:rsidRDefault="008D4F0C" w:rsidP="008D4F0C">
      <w:pPr>
        <w:pStyle w:val="FootnoteText"/>
        <w:jc w:val="both"/>
      </w:pPr>
      <w:r>
        <w:rPr>
          <w:rStyle w:val="FootnoteReference"/>
        </w:rPr>
        <w:footnoteRef/>
      </w:r>
      <w:r w:rsidRPr="00AD50FA">
        <w:t xml:space="preserve"> </w:t>
      </w:r>
      <w:r>
        <w:t>Σημείο</w:t>
      </w:r>
      <w:r w:rsidRPr="00AD50FA">
        <w:t xml:space="preserve"> </w:t>
      </w:r>
      <w:r>
        <w:t xml:space="preserve">αριθ. </w:t>
      </w:r>
      <w:r w:rsidRPr="00AD50FA">
        <w:t xml:space="preserve">7 </w:t>
      </w:r>
      <w:r>
        <w:t>των</w:t>
      </w:r>
      <w:r w:rsidRPr="00AD50FA">
        <w:t xml:space="preserve"> </w:t>
      </w:r>
      <w:r>
        <w:t>συμπερασμάτων</w:t>
      </w:r>
      <w:r w:rsidRPr="00AD50FA">
        <w:t>.</w:t>
      </w:r>
      <w:r>
        <w:t xml:space="preserve"> Θα πρέπει να τονιστεί ότι κάτι αντίστοιχο συμβαίνει στις ΗΠΑ. Συγκεκριμένα, στις ΗΠΑ η ΑΠΚ διέπεται από τη νομοθεσία για την εκτίμηση των περιβαλλοντικών επιπτώσεων (ΝΕΡΑ). Σύμφωνα λοιπόν με την ανωτέρω νομοθεσία επιβάλλεται να λαμβάνονται υπόψη οι επιπτώσεις που έχουν ευλόγως στενή σχέση με τις αλλαγές στο φυσικό περιβάλλον. Οι οικονομικές επιπτώσεις πρέπει να λαμβάνονται υπόψη όταν συνδέονται στενά με τις φυσικές περιβαλλοντικές επιπτώσεις. Όπως ειδικότερα επισημαίνεται: «Όταν καταρτίζεται μια Μελέτη Περιβαλλοντικών Επιπτώσεων και οι οικονομικές, κοινωνικές, φυσικές και περιβαλλοντικές επιπτώσεις συνδέονται στενά μεταξύ τους, τότε η Μελέτη Περιβαλλοντικών Επιπτώσεων θα πρέπει να περιλαμβάνει όλες τις παραπάνω επιπτώσεις στο ανθρώπινο περιβάλλον.» Βλ</w:t>
      </w:r>
      <w:r w:rsidRPr="00EE6AB0">
        <w:rPr>
          <w:lang w:val="en-US"/>
        </w:rPr>
        <w:t xml:space="preserve">., </w:t>
      </w:r>
      <w:r>
        <w:t>σχετ</w:t>
      </w:r>
      <w:r w:rsidRPr="00EE6AB0">
        <w:rPr>
          <w:lang w:val="en-US"/>
        </w:rPr>
        <w:t xml:space="preserve">., </w:t>
      </w:r>
      <w:r>
        <w:rPr>
          <w:lang w:val="en-US"/>
        </w:rPr>
        <w:t xml:space="preserve">Ashley Creek Phosphate Co v. Norton, 420 F.3d 934, 943-44 </w:t>
      </w:r>
      <w:r w:rsidRPr="00016744">
        <w:rPr>
          <w:lang w:val="en-US"/>
        </w:rPr>
        <w:t>(</w:t>
      </w:r>
      <w:r>
        <w:rPr>
          <w:lang w:val="en-US"/>
        </w:rPr>
        <w:t>9</w:t>
      </w:r>
      <w:r w:rsidRPr="00016744">
        <w:rPr>
          <w:vertAlign w:val="superscript"/>
          <w:lang w:val="en-US"/>
        </w:rPr>
        <w:t>th</w:t>
      </w:r>
      <w:r>
        <w:rPr>
          <w:lang w:val="en-US"/>
        </w:rPr>
        <w:t xml:space="preserve"> Cir. 2005). </w:t>
      </w:r>
      <w:r>
        <w:t>Βλ</w:t>
      </w:r>
      <w:r w:rsidRPr="0034552D">
        <w:rPr>
          <w:lang w:val="en-US"/>
        </w:rPr>
        <w:t xml:space="preserve">., </w:t>
      </w:r>
      <w:r>
        <w:t>επίσης</w:t>
      </w:r>
      <w:r w:rsidRPr="0034552D">
        <w:rPr>
          <w:lang w:val="en-US"/>
        </w:rPr>
        <w:t xml:space="preserve">, </w:t>
      </w:r>
      <w:r>
        <w:rPr>
          <w:lang w:val="en-US"/>
        </w:rPr>
        <w:t>Geertson Farms Inc v. Johanns, No C 06-01075 CRB, 2007 WL 518624 (N.D. Calif. Feb</w:t>
      </w:r>
      <w:r w:rsidRPr="00FF4515">
        <w:t>. 13, 2007)</w:t>
      </w:r>
      <w:r>
        <w:t xml:space="preserve">. Στην τελευταία απόφαση τονίζεται επί πλέον ότι «ένας από τους στόχους της ΝΕΡΑ είναι ‘‘να επιτυγχάνεται το μεγαλύτερο δυνατό εύρος των ωφελειών από το περιβάλλον χωρίς υποβάθμιση, κίνδυνο για την υγεία και την ασφάλεια </w:t>
      </w:r>
      <w:r w:rsidRPr="00FF4515">
        <w:rPr>
          <w:i/>
        </w:rPr>
        <w:t>ή άλλες ανεπιθύμητες και μη σκοπούμενες συνέπειες</w:t>
      </w:r>
      <w:r>
        <w:t xml:space="preserve">’’ 42 </w:t>
      </w:r>
      <w:r>
        <w:rPr>
          <w:lang w:val="en-US"/>
        </w:rPr>
        <w:t>U</w:t>
      </w:r>
      <w:r w:rsidRPr="00FF4515">
        <w:t>.</w:t>
      </w:r>
      <w:r>
        <w:rPr>
          <w:lang w:val="en-US"/>
        </w:rPr>
        <w:t>S</w:t>
      </w:r>
      <w:r w:rsidRPr="00FF4515">
        <w:t>.</w:t>
      </w:r>
      <w:r>
        <w:rPr>
          <w:lang w:val="en-US"/>
        </w:rPr>
        <w:t>C</w:t>
      </w:r>
      <w:r w:rsidRPr="00FF4515">
        <w:t xml:space="preserve">. </w:t>
      </w:r>
      <w:r>
        <w:rPr>
          <w:lang w:val="en-US"/>
        </w:rPr>
        <w:t>Par</w:t>
      </w:r>
      <w:r w:rsidRPr="00FF4515">
        <w:t>. 4331(</w:t>
      </w:r>
      <w:r>
        <w:rPr>
          <w:lang w:val="en-US"/>
        </w:rPr>
        <w:t>b</w:t>
      </w:r>
      <w:r w:rsidRPr="00FF4515">
        <w:t xml:space="preserve">)(3). </w:t>
      </w:r>
      <w:r>
        <w:t xml:space="preserve">Μία δραστηριότητα που ακυρώνει την επιλογή των γεωργών να καλλιεργήσουν μη ΓΤΟ ή την επιλογή των καταναλωτών να τρέφονται με μη ΓΤ τρόφιμα είναι μια τέτοια ανεπιθύμητη συνέπεια: ένας άλλος στόχος της ΝΕΡΑ είναι ‘‘να διατηρεί, στο μέτρο του δυνατού, ένα περιβάλλον το οποίο εξασφαλίζει ποικιλότητα και ποικιλία ατομικών επιλογών.’’ 42 </w:t>
      </w:r>
      <w:r>
        <w:rPr>
          <w:lang w:val="en-US"/>
        </w:rPr>
        <w:t>U</w:t>
      </w:r>
      <w:r w:rsidRPr="00FF4515">
        <w:t>.</w:t>
      </w:r>
      <w:r>
        <w:rPr>
          <w:lang w:val="en-US"/>
        </w:rPr>
        <w:t>S</w:t>
      </w:r>
      <w:r w:rsidRPr="00FF4515">
        <w:t>.</w:t>
      </w:r>
      <w:r>
        <w:rPr>
          <w:lang w:val="en-US"/>
        </w:rPr>
        <w:t>C</w:t>
      </w:r>
      <w:r w:rsidRPr="00FF4515">
        <w:t xml:space="preserve">. </w:t>
      </w:r>
      <w:r>
        <w:rPr>
          <w:lang w:val="en-US"/>
        </w:rPr>
        <w:t>Par</w:t>
      </w:r>
      <w:r w:rsidRPr="00FF4515">
        <w:t>. 4331(</w:t>
      </w:r>
      <w:r>
        <w:rPr>
          <w:lang w:val="en-US"/>
        </w:rPr>
        <w:t>b</w:t>
      </w:r>
      <w:r>
        <w:t>)(4</w:t>
      </w:r>
      <w:r w:rsidRPr="00FF4515">
        <w:t>).</w:t>
      </w:r>
      <w:r>
        <w:t>»</w:t>
      </w:r>
    </w:p>
  </w:footnote>
  <w:footnote w:id="148">
    <w:p w:rsidR="008D4F0C" w:rsidRPr="00D52C1F" w:rsidRDefault="008D4F0C" w:rsidP="008D4F0C">
      <w:pPr>
        <w:pStyle w:val="FootnoteText"/>
      </w:pPr>
      <w:r>
        <w:rPr>
          <w:rStyle w:val="FootnoteReference"/>
        </w:rPr>
        <w:footnoteRef/>
      </w:r>
      <w:r w:rsidRPr="00D52C1F">
        <w:t xml:space="preserve"> </w:t>
      </w:r>
      <w:r>
        <w:t>Σημείο</w:t>
      </w:r>
      <w:r w:rsidRPr="00D52C1F">
        <w:t xml:space="preserve"> </w:t>
      </w:r>
      <w:r>
        <w:t>αριθ</w:t>
      </w:r>
      <w:r w:rsidRPr="00D52C1F">
        <w:t>.</w:t>
      </w:r>
      <w:r>
        <w:t xml:space="preserve"> </w:t>
      </w:r>
      <w:r w:rsidRPr="00D52C1F">
        <w:t xml:space="preserve">7 </w:t>
      </w:r>
      <w:r>
        <w:t>των</w:t>
      </w:r>
      <w:r w:rsidRPr="00D52C1F">
        <w:t xml:space="preserve"> </w:t>
      </w:r>
      <w:r>
        <w:t>συμπερασμάτων</w:t>
      </w:r>
      <w:r w:rsidRPr="00D52C1F">
        <w:t xml:space="preserve">.   </w:t>
      </w:r>
    </w:p>
  </w:footnote>
  <w:footnote w:id="149">
    <w:p w:rsidR="008D4F0C" w:rsidRPr="002F420A" w:rsidRDefault="008D4F0C" w:rsidP="008D4F0C">
      <w:pPr>
        <w:pStyle w:val="FootnoteText"/>
        <w:jc w:val="both"/>
      </w:pPr>
      <w:r>
        <w:rPr>
          <w:rStyle w:val="FootnoteReference"/>
        </w:rPr>
        <w:footnoteRef/>
      </w:r>
      <w:r w:rsidRPr="002F420A">
        <w:t xml:space="preserve"> </w:t>
      </w:r>
      <w:r w:rsidRPr="00651168">
        <w:rPr>
          <w:rFonts w:ascii="Book Antiqua" w:hAnsi="Book Antiqua" w:cs="Tahoma"/>
        </w:rPr>
        <w:t>Κανονισμός (ΕΚ) αριθ. 1907/2006 του Ευρωπαϊκού Κοινοβουλίου και του Συμβουλίου της 18</w:t>
      </w:r>
      <w:r w:rsidRPr="00651168">
        <w:rPr>
          <w:rFonts w:ascii="Book Antiqua" w:hAnsi="Book Antiqua" w:cs="Tahoma"/>
          <w:vertAlign w:val="superscript"/>
        </w:rPr>
        <w:t>ης</w:t>
      </w:r>
      <w:r w:rsidRPr="00651168">
        <w:rPr>
          <w:rFonts w:ascii="Book Antiqua" w:hAnsi="Book Antiqua" w:cs="Tahoma"/>
        </w:rPr>
        <w:t xml:space="preserve"> Δεκεμβρίου 2006 για την καταχώρηση, την αξιολόγηση, την αδειοδότηση και τους περιορισμούς των χημικών προϊόντων (REACH), ΕΕ L 396</w:t>
      </w:r>
      <w:r w:rsidRPr="002F420A">
        <w:rPr>
          <w:rFonts w:ascii="Book Antiqua" w:hAnsi="Book Antiqua" w:cs="Tahoma"/>
        </w:rPr>
        <w:t>/1</w:t>
      </w:r>
      <w:r w:rsidRPr="00651168">
        <w:rPr>
          <w:rFonts w:ascii="Book Antiqua" w:hAnsi="Book Antiqua" w:cs="Tahoma"/>
        </w:rPr>
        <w:t xml:space="preserve"> της 30.12.200</w:t>
      </w:r>
      <w:r>
        <w:rPr>
          <w:rFonts w:ascii="Book Antiqua" w:hAnsi="Book Antiqua" w:cs="Tahoma"/>
        </w:rPr>
        <w:t>6</w:t>
      </w:r>
      <w:r w:rsidRPr="00651168">
        <w:rPr>
          <w:rFonts w:ascii="Book Antiqua" w:hAnsi="Book Antiqua" w:cs="Tahoma"/>
        </w:rPr>
        <w:t>.</w:t>
      </w:r>
    </w:p>
  </w:footnote>
  <w:footnote w:id="150">
    <w:p w:rsidR="008D4F0C" w:rsidRPr="00957BE0" w:rsidRDefault="008D4F0C" w:rsidP="008D4F0C">
      <w:pPr>
        <w:pStyle w:val="FootnoteText"/>
      </w:pPr>
      <w:r>
        <w:rPr>
          <w:rStyle w:val="FootnoteReference"/>
        </w:rPr>
        <w:footnoteRef/>
      </w:r>
      <w:r w:rsidRPr="00957BE0">
        <w:t xml:space="preserve"> </w:t>
      </w:r>
      <w:r>
        <w:t>Άρθρο</w:t>
      </w:r>
      <w:r w:rsidRPr="00957BE0">
        <w:t xml:space="preserve"> 75 </w:t>
      </w:r>
      <w:r>
        <w:t>του</w:t>
      </w:r>
      <w:r w:rsidRPr="00957BE0">
        <w:t xml:space="preserve"> </w:t>
      </w:r>
      <w:r>
        <w:t>Κανονισμού</w:t>
      </w:r>
      <w:r w:rsidRPr="00957BE0">
        <w:t xml:space="preserve"> </w:t>
      </w:r>
      <w:r>
        <w:rPr>
          <w:lang w:val="en-US"/>
        </w:rPr>
        <w:t>REACH</w:t>
      </w:r>
      <w:r w:rsidRPr="00957BE0">
        <w:t>.</w:t>
      </w:r>
    </w:p>
  </w:footnote>
  <w:footnote w:id="151">
    <w:p w:rsidR="008D4F0C" w:rsidRPr="00243068" w:rsidRDefault="008D4F0C" w:rsidP="008D4F0C">
      <w:pPr>
        <w:pStyle w:val="FootnoteText"/>
      </w:pPr>
      <w:r>
        <w:rPr>
          <w:rStyle w:val="FootnoteReference"/>
        </w:rPr>
        <w:footnoteRef/>
      </w:r>
      <w:r w:rsidRPr="001957E7">
        <w:t xml:space="preserve"> </w:t>
      </w:r>
      <w:r>
        <w:t>Άρθρο</w:t>
      </w:r>
      <w:r w:rsidRPr="001957E7">
        <w:t xml:space="preserve"> 7</w:t>
      </w:r>
      <w:r>
        <w:t>6(1)(δ)</w:t>
      </w:r>
      <w:r w:rsidRPr="001957E7">
        <w:t xml:space="preserve"> </w:t>
      </w:r>
      <w:r>
        <w:t>του</w:t>
      </w:r>
      <w:r w:rsidRPr="001957E7">
        <w:t xml:space="preserve"> </w:t>
      </w:r>
      <w:r>
        <w:t>Κανονισμού</w:t>
      </w:r>
      <w:r w:rsidRPr="001957E7">
        <w:t xml:space="preserve"> </w:t>
      </w:r>
      <w:r>
        <w:rPr>
          <w:lang w:val="en-US"/>
        </w:rPr>
        <w:t>REACH</w:t>
      </w:r>
      <w:r w:rsidRPr="001957E7">
        <w:t>.</w:t>
      </w:r>
    </w:p>
  </w:footnote>
  <w:footnote w:id="152">
    <w:p w:rsidR="008D4F0C" w:rsidRPr="009655B2" w:rsidRDefault="008D4F0C" w:rsidP="008D4F0C">
      <w:pPr>
        <w:pStyle w:val="FootnoteText"/>
        <w:jc w:val="both"/>
        <w:rPr>
          <w:lang w:val="en-US"/>
        </w:rPr>
      </w:pPr>
      <w:r>
        <w:rPr>
          <w:rStyle w:val="FootnoteReference"/>
        </w:rPr>
        <w:footnoteRef/>
      </w:r>
      <w:r w:rsidRPr="009655B2">
        <w:rPr>
          <w:lang w:val="en-US"/>
        </w:rPr>
        <w:t xml:space="preserve"> </w:t>
      </w:r>
      <w:r>
        <w:rPr>
          <w:i/>
          <w:lang w:val="en-US"/>
        </w:rPr>
        <w:t>M.B. Brown</w:t>
      </w:r>
      <w:r>
        <w:rPr>
          <w:lang w:val="en-US"/>
        </w:rPr>
        <w:t>, Science in Democracy: Expertise, Institutions, and Representation,</w:t>
      </w:r>
      <w:r w:rsidRPr="00E45F66">
        <w:rPr>
          <w:lang w:val="en-US"/>
        </w:rPr>
        <w:t xml:space="preserve"> </w:t>
      </w:r>
      <w:r>
        <w:t>ό</w:t>
      </w:r>
      <w:r w:rsidRPr="00982866">
        <w:rPr>
          <w:lang w:val="en-US"/>
        </w:rPr>
        <w:t>.</w:t>
      </w:r>
      <w:r>
        <w:t>π</w:t>
      </w:r>
      <w:r w:rsidRPr="00982866">
        <w:rPr>
          <w:lang w:val="en-US"/>
        </w:rPr>
        <w:t>.</w:t>
      </w:r>
      <w:r>
        <w:rPr>
          <w:lang w:val="en-US"/>
        </w:rPr>
        <w:t xml:space="preserve">, </w:t>
      </w:r>
      <w:r>
        <w:t>σ</w:t>
      </w:r>
      <w:r w:rsidRPr="009655B2">
        <w:rPr>
          <w:lang w:val="en-US"/>
        </w:rPr>
        <w:t>. 78-85.</w:t>
      </w:r>
    </w:p>
  </w:footnote>
  <w:footnote w:id="153">
    <w:p w:rsidR="008D4F0C" w:rsidRPr="00426A98" w:rsidRDefault="008D4F0C" w:rsidP="008D4F0C">
      <w:pPr>
        <w:pStyle w:val="FootnoteText"/>
        <w:rPr>
          <w:lang w:val="en-US"/>
        </w:rPr>
      </w:pPr>
      <w:r>
        <w:rPr>
          <w:rStyle w:val="FootnoteReference"/>
        </w:rPr>
        <w:footnoteRef/>
      </w:r>
      <w:r w:rsidRPr="00D7350C">
        <w:rPr>
          <w:lang w:val="en-US"/>
        </w:rPr>
        <w:t xml:space="preserve"> </w:t>
      </w:r>
      <w:r w:rsidRPr="001971B0">
        <w:rPr>
          <w:i/>
          <w:lang w:val="en-US"/>
        </w:rPr>
        <w:t>Ibid.</w:t>
      </w:r>
      <w:r w:rsidRPr="005E2829">
        <w:rPr>
          <w:i/>
          <w:lang w:val="en-US"/>
        </w:rPr>
        <w:t xml:space="preserve"> </w:t>
      </w:r>
    </w:p>
  </w:footnote>
  <w:footnote w:id="154">
    <w:p w:rsidR="008D4F0C" w:rsidRPr="00381791" w:rsidRDefault="008D4F0C" w:rsidP="008D4F0C">
      <w:pPr>
        <w:pStyle w:val="FootnoteText"/>
        <w:jc w:val="both"/>
        <w:rPr>
          <w:lang w:val="en-US"/>
        </w:rPr>
      </w:pPr>
      <w:r>
        <w:rPr>
          <w:rStyle w:val="FootnoteReference"/>
        </w:rPr>
        <w:footnoteRef/>
      </w:r>
      <w:r w:rsidRPr="004F0A2B">
        <w:rPr>
          <w:lang w:val="en-US"/>
        </w:rPr>
        <w:t xml:space="preserve"> </w:t>
      </w:r>
      <w:r>
        <w:rPr>
          <w:i/>
          <w:lang w:val="en-US"/>
        </w:rPr>
        <w:t>R.M. Bratspies</w:t>
      </w:r>
      <w:r>
        <w:rPr>
          <w:lang w:val="en-US"/>
        </w:rPr>
        <w:t xml:space="preserve">, “Biotechnology, Sustainability &amp; Trust”, Kansas Journal of Law &amp; Public Policy, Vol. XVIII(2), 2009, </w:t>
      </w:r>
      <w:r>
        <w:t>σ</w:t>
      </w:r>
      <w:r w:rsidRPr="00381791">
        <w:rPr>
          <w:lang w:val="en-US"/>
        </w:rPr>
        <w:t>. 276. (273)</w:t>
      </w:r>
    </w:p>
  </w:footnote>
  <w:footnote w:id="155">
    <w:p w:rsidR="008D4F0C" w:rsidRPr="00636B48" w:rsidRDefault="008D4F0C" w:rsidP="008D4F0C">
      <w:pPr>
        <w:pStyle w:val="FootnoteText"/>
        <w:rPr>
          <w:lang w:val="en-US"/>
        </w:rPr>
      </w:pPr>
      <w:r>
        <w:rPr>
          <w:rStyle w:val="FootnoteReference"/>
        </w:rPr>
        <w:footnoteRef/>
      </w:r>
      <w:r w:rsidRPr="00381791">
        <w:rPr>
          <w:lang w:val="en-US"/>
        </w:rPr>
        <w:t xml:space="preserve"> </w:t>
      </w:r>
      <w:r w:rsidRPr="001971B0">
        <w:rPr>
          <w:i/>
          <w:lang w:val="en-US"/>
        </w:rPr>
        <w:t>Ibid.</w:t>
      </w:r>
      <w:r w:rsidRPr="005E2829">
        <w:rPr>
          <w:i/>
          <w:lang w:val="en-US"/>
        </w:rPr>
        <w:t xml:space="preserve"> </w:t>
      </w:r>
    </w:p>
  </w:footnote>
  <w:footnote w:id="156">
    <w:p w:rsidR="008D4F0C" w:rsidRPr="00957BE0" w:rsidRDefault="008D4F0C" w:rsidP="008D4F0C">
      <w:pPr>
        <w:pStyle w:val="FootnoteText"/>
        <w:rPr>
          <w:lang w:val="en-US"/>
        </w:rPr>
      </w:pPr>
      <w:r>
        <w:rPr>
          <w:rStyle w:val="FootnoteReference"/>
        </w:rPr>
        <w:footnoteRef/>
      </w:r>
      <w:r w:rsidRPr="00636B48">
        <w:rPr>
          <w:lang w:val="en-US"/>
        </w:rPr>
        <w:t xml:space="preserve"> </w:t>
      </w:r>
      <w:r w:rsidRPr="001971B0">
        <w:rPr>
          <w:i/>
          <w:lang w:val="en-US"/>
        </w:rPr>
        <w:t>Ibid.</w:t>
      </w:r>
      <w:r w:rsidRPr="005E2829">
        <w:rPr>
          <w:i/>
          <w:lang w:val="en-US"/>
        </w:rPr>
        <w:t xml:space="preserve"> </w:t>
      </w:r>
    </w:p>
  </w:footnote>
  <w:footnote w:id="157">
    <w:p w:rsidR="008D4F0C" w:rsidRPr="008D4F0C" w:rsidRDefault="008D4F0C" w:rsidP="008D4F0C">
      <w:pPr>
        <w:pStyle w:val="FootnoteText"/>
        <w:jc w:val="both"/>
        <w:rPr>
          <w:lang w:val="en-US"/>
        </w:rPr>
      </w:pPr>
      <w:r>
        <w:rPr>
          <w:rStyle w:val="FootnoteReference"/>
        </w:rPr>
        <w:footnoteRef/>
      </w:r>
      <w:r w:rsidRPr="00426A98">
        <w:rPr>
          <w:lang w:val="en-US"/>
        </w:rPr>
        <w:t xml:space="preserve"> </w:t>
      </w:r>
      <w:r>
        <w:rPr>
          <w:i/>
          <w:lang w:val="en-US"/>
        </w:rPr>
        <w:t>K. Shrader-Frechette</w:t>
      </w:r>
      <w:r>
        <w:rPr>
          <w:lang w:val="en-US"/>
        </w:rPr>
        <w:t xml:space="preserve">, “Evaluating the Expertise of Experts”, Risk: Health, Safety &amp; Environment, Vol. 6, 1995, </w:t>
      </w:r>
      <w:r>
        <w:t>σ</w:t>
      </w:r>
      <w:r w:rsidRPr="00BE21FA">
        <w:rPr>
          <w:lang w:val="en-US"/>
        </w:rPr>
        <w:t xml:space="preserve">. </w:t>
      </w:r>
      <w:r w:rsidRPr="00426A98">
        <w:rPr>
          <w:lang w:val="en-US"/>
        </w:rPr>
        <w:t>117.</w:t>
      </w:r>
      <w:r w:rsidRPr="00ED7DFA">
        <w:rPr>
          <w:lang w:val="en-US"/>
        </w:rPr>
        <w:t xml:space="preserve"> </w:t>
      </w:r>
      <w:r>
        <w:t>Ομοίως</w:t>
      </w:r>
      <w:r w:rsidRPr="00ED7DFA">
        <w:rPr>
          <w:lang w:val="en-US"/>
        </w:rPr>
        <w:t xml:space="preserve">, </w:t>
      </w:r>
      <w:r>
        <w:rPr>
          <w:i/>
          <w:lang w:val="en-US"/>
        </w:rPr>
        <w:t>F. Fisher</w:t>
      </w:r>
      <w:r>
        <w:rPr>
          <w:lang w:val="en-US"/>
        </w:rPr>
        <w:t>, “Are Scientists Irrational? Risk</w:t>
      </w:r>
      <w:r w:rsidRPr="008D4F0C">
        <w:rPr>
          <w:lang w:val="en-US"/>
        </w:rPr>
        <w:t xml:space="preserve"> </w:t>
      </w:r>
      <w:r>
        <w:rPr>
          <w:lang w:val="en-US"/>
        </w:rPr>
        <w:t>Assessment</w:t>
      </w:r>
      <w:r w:rsidRPr="008D4F0C">
        <w:rPr>
          <w:lang w:val="en-US"/>
        </w:rPr>
        <w:t xml:space="preserve"> </w:t>
      </w:r>
      <w:r>
        <w:rPr>
          <w:lang w:val="en-US"/>
        </w:rPr>
        <w:t>in</w:t>
      </w:r>
      <w:r w:rsidRPr="008D4F0C">
        <w:rPr>
          <w:lang w:val="en-US"/>
        </w:rPr>
        <w:t xml:space="preserve"> </w:t>
      </w:r>
      <w:r>
        <w:rPr>
          <w:lang w:val="en-US"/>
        </w:rPr>
        <w:t>Practical</w:t>
      </w:r>
      <w:r w:rsidRPr="008D4F0C">
        <w:rPr>
          <w:lang w:val="en-US"/>
        </w:rPr>
        <w:t xml:space="preserve"> </w:t>
      </w:r>
      <w:r>
        <w:rPr>
          <w:lang w:val="en-US"/>
        </w:rPr>
        <w:t>Reason</w:t>
      </w:r>
      <w:r w:rsidRPr="008D4F0C">
        <w:rPr>
          <w:lang w:val="en-US"/>
        </w:rPr>
        <w:t xml:space="preserve">” </w:t>
      </w:r>
      <w:r>
        <w:rPr>
          <w:lang w:val="en-US"/>
        </w:rPr>
        <w:t>in</w:t>
      </w:r>
      <w:r w:rsidRPr="008D4F0C">
        <w:rPr>
          <w:lang w:val="en-US"/>
        </w:rPr>
        <w:t xml:space="preserve">: </w:t>
      </w:r>
      <w:r w:rsidRPr="00ED7DFA">
        <w:rPr>
          <w:i/>
          <w:lang w:val="en-US"/>
        </w:rPr>
        <w:t>M</w:t>
      </w:r>
      <w:r w:rsidRPr="008D4F0C">
        <w:rPr>
          <w:i/>
          <w:lang w:val="en-US"/>
        </w:rPr>
        <w:t xml:space="preserve">. </w:t>
      </w:r>
      <w:r w:rsidRPr="00ED7DFA">
        <w:rPr>
          <w:i/>
          <w:lang w:val="en-US"/>
        </w:rPr>
        <w:t>Leach</w:t>
      </w:r>
      <w:r w:rsidRPr="008D4F0C">
        <w:rPr>
          <w:i/>
          <w:lang w:val="en-US"/>
        </w:rPr>
        <w:t xml:space="preserve">, </w:t>
      </w:r>
      <w:r>
        <w:rPr>
          <w:i/>
          <w:lang w:val="en-US"/>
        </w:rPr>
        <w:t>I</w:t>
      </w:r>
      <w:r w:rsidRPr="008D4F0C">
        <w:rPr>
          <w:i/>
          <w:lang w:val="en-US"/>
        </w:rPr>
        <w:t xml:space="preserve">. </w:t>
      </w:r>
      <w:r>
        <w:rPr>
          <w:i/>
          <w:lang w:val="en-US"/>
        </w:rPr>
        <w:t>Scoones</w:t>
      </w:r>
      <w:r w:rsidRPr="008D4F0C">
        <w:rPr>
          <w:i/>
          <w:lang w:val="en-US"/>
        </w:rPr>
        <w:t xml:space="preserve">, </w:t>
      </w:r>
      <w:r>
        <w:rPr>
          <w:i/>
          <w:lang w:val="en-US"/>
        </w:rPr>
        <w:t>B</w:t>
      </w:r>
      <w:r w:rsidRPr="008D4F0C">
        <w:rPr>
          <w:i/>
          <w:lang w:val="en-US"/>
        </w:rPr>
        <w:t xml:space="preserve">. </w:t>
      </w:r>
      <w:r>
        <w:rPr>
          <w:i/>
          <w:lang w:val="en-US"/>
        </w:rPr>
        <w:t>Wynne</w:t>
      </w:r>
      <w:r w:rsidRPr="008D4F0C">
        <w:rPr>
          <w:i/>
          <w:lang w:val="en-US"/>
        </w:rPr>
        <w:t xml:space="preserve"> </w:t>
      </w:r>
      <w:r w:rsidRPr="008D4F0C">
        <w:rPr>
          <w:lang w:val="en-US"/>
        </w:rPr>
        <w:t>(</w:t>
      </w:r>
      <w:r>
        <w:rPr>
          <w:lang w:val="en-US"/>
        </w:rPr>
        <w:t>eds</w:t>
      </w:r>
      <w:r w:rsidRPr="008D4F0C">
        <w:rPr>
          <w:lang w:val="en-US"/>
        </w:rPr>
        <w:t xml:space="preserve">), </w:t>
      </w:r>
      <w:r>
        <w:rPr>
          <w:lang w:val="en-US"/>
        </w:rPr>
        <w:t>Science</w:t>
      </w:r>
      <w:r w:rsidRPr="008D4F0C">
        <w:rPr>
          <w:lang w:val="en-US"/>
        </w:rPr>
        <w:t xml:space="preserve"> </w:t>
      </w:r>
      <w:r>
        <w:rPr>
          <w:lang w:val="en-US"/>
        </w:rPr>
        <w:t>and</w:t>
      </w:r>
      <w:r w:rsidRPr="008D4F0C">
        <w:rPr>
          <w:lang w:val="en-US"/>
        </w:rPr>
        <w:t xml:space="preserve"> </w:t>
      </w:r>
      <w:r>
        <w:rPr>
          <w:lang w:val="en-US"/>
        </w:rPr>
        <w:t>Citizens</w:t>
      </w:r>
      <w:r w:rsidRPr="008D4F0C">
        <w:rPr>
          <w:lang w:val="en-US"/>
        </w:rPr>
        <w:t xml:space="preserve">: </w:t>
      </w:r>
      <w:r>
        <w:rPr>
          <w:lang w:val="en-US"/>
        </w:rPr>
        <w:t>Globalization</w:t>
      </w:r>
      <w:r w:rsidRPr="008D4F0C">
        <w:rPr>
          <w:lang w:val="en-US"/>
        </w:rPr>
        <w:t xml:space="preserve"> &amp; ,</w:t>
      </w:r>
      <w:r>
        <w:rPr>
          <w:lang w:val="en-US"/>
        </w:rPr>
        <w:t>the</w:t>
      </w:r>
      <w:r w:rsidRPr="008D4F0C">
        <w:rPr>
          <w:lang w:val="en-US"/>
        </w:rPr>
        <w:t xml:space="preserve"> </w:t>
      </w:r>
      <w:r>
        <w:rPr>
          <w:lang w:val="en-US"/>
        </w:rPr>
        <w:t>Challenge</w:t>
      </w:r>
      <w:r w:rsidRPr="008D4F0C">
        <w:rPr>
          <w:lang w:val="en-US"/>
        </w:rPr>
        <w:t xml:space="preserve"> </w:t>
      </w:r>
      <w:r>
        <w:rPr>
          <w:lang w:val="en-US"/>
        </w:rPr>
        <w:t>of</w:t>
      </w:r>
      <w:r w:rsidRPr="008D4F0C">
        <w:rPr>
          <w:lang w:val="en-US"/>
        </w:rPr>
        <w:t xml:space="preserve"> </w:t>
      </w:r>
      <w:r>
        <w:rPr>
          <w:lang w:val="en-US"/>
        </w:rPr>
        <w:t>Engagement</w:t>
      </w:r>
      <w:r w:rsidRPr="008D4F0C">
        <w:rPr>
          <w:lang w:val="en-US"/>
        </w:rPr>
        <w:t xml:space="preserve">, </w:t>
      </w:r>
      <w:r>
        <w:rPr>
          <w:lang w:val="en-US"/>
        </w:rPr>
        <w:t>London</w:t>
      </w:r>
      <w:r w:rsidRPr="008D4F0C">
        <w:rPr>
          <w:lang w:val="en-US"/>
        </w:rPr>
        <w:t>/</w:t>
      </w:r>
      <w:r>
        <w:rPr>
          <w:lang w:val="en-US"/>
        </w:rPr>
        <w:t>N</w:t>
      </w:r>
      <w:r w:rsidRPr="008D4F0C">
        <w:rPr>
          <w:lang w:val="en-US"/>
        </w:rPr>
        <w:t>.</w:t>
      </w:r>
      <w:r>
        <w:rPr>
          <w:lang w:val="en-US"/>
        </w:rPr>
        <w:t>Y</w:t>
      </w:r>
      <w:r w:rsidRPr="008D4F0C">
        <w:rPr>
          <w:lang w:val="en-US"/>
        </w:rPr>
        <w:t xml:space="preserve">., 2005, </w:t>
      </w:r>
      <w:r>
        <w:t>σ</w:t>
      </w:r>
      <w:r w:rsidRPr="008D4F0C">
        <w:rPr>
          <w:lang w:val="en-US"/>
        </w:rPr>
        <w:t>. 59 (</w:t>
      </w:r>
      <w:r>
        <w:t>ο</w:t>
      </w:r>
      <w:r w:rsidRPr="008D4F0C">
        <w:rPr>
          <w:lang w:val="en-US"/>
        </w:rPr>
        <w:t xml:space="preserve"> </w:t>
      </w:r>
      <w:r>
        <w:t>οποίος</w:t>
      </w:r>
      <w:r w:rsidRPr="008D4F0C">
        <w:rPr>
          <w:lang w:val="en-US"/>
        </w:rPr>
        <w:t xml:space="preserve"> </w:t>
      </w:r>
      <w:r>
        <w:t>τονίζει</w:t>
      </w:r>
      <w:r w:rsidRPr="008D4F0C">
        <w:rPr>
          <w:lang w:val="en-US"/>
        </w:rPr>
        <w:t xml:space="preserve"> </w:t>
      </w:r>
      <w:r>
        <w:t>ότι</w:t>
      </w:r>
      <w:r w:rsidRPr="008D4F0C">
        <w:rPr>
          <w:lang w:val="en-US"/>
        </w:rPr>
        <w:t xml:space="preserve"> </w:t>
      </w:r>
      <w:r>
        <w:t>στο</w:t>
      </w:r>
      <w:r w:rsidRPr="008D4F0C">
        <w:rPr>
          <w:lang w:val="en-US"/>
        </w:rPr>
        <w:t xml:space="preserve"> </w:t>
      </w:r>
      <w:r>
        <w:t>βαθμό</w:t>
      </w:r>
      <w:r w:rsidRPr="008D4F0C">
        <w:rPr>
          <w:lang w:val="en-US"/>
        </w:rPr>
        <w:t xml:space="preserve"> </w:t>
      </w:r>
      <w:r>
        <w:t>που</w:t>
      </w:r>
      <w:r w:rsidRPr="008D4F0C">
        <w:rPr>
          <w:lang w:val="en-US"/>
        </w:rPr>
        <w:t xml:space="preserve"> </w:t>
      </w:r>
      <w:r>
        <w:t>ο</w:t>
      </w:r>
      <w:r w:rsidRPr="008D4F0C">
        <w:rPr>
          <w:lang w:val="en-US"/>
        </w:rPr>
        <w:t xml:space="preserve"> </w:t>
      </w:r>
      <w:r>
        <w:t>πολιτιστικός</w:t>
      </w:r>
      <w:r w:rsidRPr="008D4F0C">
        <w:rPr>
          <w:lang w:val="en-US"/>
        </w:rPr>
        <w:t xml:space="preserve"> </w:t>
      </w:r>
      <w:r>
        <w:t>προσανατολισμός</w:t>
      </w:r>
      <w:r w:rsidRPr="008D4F0C">
        <w:rPr>
          <w:lang w:val="en-US"/>
        </w:rPr>
        <w:t xml:space="preserve"> </w:t>
      </w:r>
      <w:r>
        <w:t>αποτελεί</w:t>
      </w:r>
      <w:r w:rsidRPr="008D4F0C">
        <w:rPr>
          <w:lang w:val="en-US"/>
        </w:rPr>
        <w:t xml:space="preserve"> </w:t>
      </w:r>
      <w:r>
        <w:t>ένα</w:t>
      </w:r>
      <w:r w:rsidRPr="008D4F0C">
        <w:rPr>
          <w:lang w:val="en-US"/>
        </w:rPr>
        <w:t xml:space="preserve"> </w:t>
      </w:r>
      <w:r>
        <w:t>σημαντικό</w:t>
      </w:r>
      <w:r w:rsidRPr="008D4F0C">
        <w:rPr>
          <w:lang w:val="en-US"/>
        </w:rPr>
        <w:t xml:space="preserve"> </w:t>
      </w:r>
      <w:r>
        <w:t>μέρος</w:t>
      </w:r>
      <w:r w:rsidRPr="008D4F0C">
        <w:rPr>
          <w:lang w:val="en-US"/>
        </w:rPr>
        <w:t xml:space="preserve"> </w:t>
      </w:r>
      <w:r>
        <w:t>της</w:t>
      </w:r>
      <w:r w:rsidRPr="008D4F0C">
        <w:rPr>
          <w:lang w:val="en-US"/>
        </w:rPr>
        <w:t xml:space="preserve"> </w:t>
      </w:r>
      <w:r>
        <w:t>απάντησης</w:t>
      </w:r>
      <w:r w:rsidRPr="008D4F0C">
        <w:rPr>
          <w:lang w:val="en-US"/>
        </w:rPr>
        <w:t xml:space="preserve"> </w:t>
      </w:r>
      <w:r>
        <w:t>στο</w:t>
      </w:r>
      <w:r w:rsidRPr="008D4F0C">
        <w:rPr>
          <w:lang w:val="en-US"/>
        </w:rPr>
        <w:t xml:space="preserve"> </w:t>
      </w:r>
      <w:r>
        <w:t>ότι</w:t>
      </w:r>
      <w:r w:rsidRPr="008D4F0C">
        <w:rPr>
          <w:lang w:val="en-US"/>
        </w:rPr>
        <w:t xml:space="preserve"> </w:t>
      </w:r>
      <w:r>
        <w:t>η</w:t>
      </w:r>
      <w:r w:rsidRPr="008D4F0C">
        <w:rPr>
          <w:lang w:val="en-US"/>
        </w:rPr>
        <w:t xml:space="preserve"> </w:t>
      </w:r>
      <w:r>
        <w:t>επιστήμη</w:t>
      </w:r>
      <w:r w:rsidRPr="008D4F0C">
        <w:rPr>
          <w:lang w:val="en-US"/>
        </w:rPr>
        <w:t xml:space="preserve"> </w:t>
      </w:r>
      <w:r>
        <w:t>δεν</w:t>
      </w:r>
      <w:r w:rsidRPr="008D4F0C">
        <w:rPr>
          <w:lang w:val="en-US"/>
        </w:rPr>
        <w:t xml:space="preserve"> </w:t>
      </w:r>
      <w:r>
        <w:t>μπορεί</w:t>
      </w:r>
      <w:r w:rsidRPr="008D4F0C">
        <w:rPr>
          <w:lang w:val="en-US"/>
        </w:rPr>
        <w:t xml:space="preserve"> </w:t>
      </w:r>
      <w:r>
        <w:t>να</w:t>
      </w:r>
      <w:r w:rsidRPr="008D4F0C">
        <w:rPr>
          <w:lang w:val="en-US"/>
        </w:rPr>
        <w:t xml:space="preserve"> </w:t>
      </w:r>
      <w:r>
        <w:t>διατυπώσει</w:t>
      </w:r>
      <w:r w:rsidRPr="008D4F0C">
        <w:rPr>
          <w:lang w:val="en-US"/>
        </w:rPr>
        <w:t xml:space="preserve"> </w:t>
      </w:r>
      <w:r>
        <w:t>τις</w:t>
      </w:r>
      <w:r w:rsidRPr="008D4F0C">
        <w:rPr>
          <w:lang w:val="en-US"/>
        </w:rPr>
        <w:t xml:space="preserve"> </w:t>
      </w:r>
      <w:r>
        <w:t>αναγκαίες</w:t>
      </w:r>
      <w:r w:rsidRPr="008D4F0C">
        <w:rPr>
          <w:lang w:val="en-US"/>
        </w:rPr>
        <w:t xml:space="preserve"> </w:t>
      </w:r>
      <w:r>
        <w:t>ερωτήσεις</w:t>
      </w:r>
      <w:r w:rsidRPr="008D4F0C">
        <w:rPr>
          <w:lang w:val="en-US"/>
        </w:rPr>
        <w:t xml:space="preserve">, </w:t>
      </w:r>
      <w:r>
        <w:t>αυτό</w:t>
      </w:r>
      <w:r w:rsidRPr="008D4F0C">
        <w:rPr>
          <w:lang w:val="en-US"/>
        </w:rPr>
        <w:t xml:space="preserve"> </w:t>
      </w:r>
      <w:r>
        <w:t>κάθε</w:t>
      </w:r>
      <w:r w:rsidRPr="008D4F0C">
        <w:rPr>
          <w:lang w:val="en-US"/>
        </w:rPr>
        <w:t xml:space="preserve"> </w:t>
      </w:r>
      <w:r>
        <w:t>άλλο</w:t>
      </w:r>
      <w:r w:rsidRPr="008D4F0C">
        <w:rPr>
          <w:lang w:val="en-US"/>
        </w:rPr>
        <w:t xml:space="preserve"> </w:t>
      </w:r>
      <w:r>
        <w:t>παρά</w:t>
      </w:r>
      <w:r w:rsidRPr="008D4F0C">
        <w:rPr>
          <w:lang w:val="en-US"/>
        </w:rPr>
        <w:t xml:space="preserve"> </w:t>
      </w:r>
      <w:r>
        <w:t>ανορθολογικό</w:t>
      </w:r>
      <w:r w:rsidRPr="008D4F0C">
        <w:rPr>
          <w:lang w:val="en-US"/>
        </w:rPr>
        <w:t xml:space="preserve"> </w:t>
      </w:r>
      <w:r>
        <w:t>είναι</w:t>
      </w:r>
      <w:r w:rsidRPr="008D4F0C">
        <w:rPr>
          <w:lang w:val="en-US"/>
        </w:rPr>
        <w:t>).</w:t>
      </w:r>
    </w:p>
  </w:footnote>
  <w:footnote w:id="158">
    <w:p w:rsidR="008D4F0C" w:rsidRPr="006B6331" w:rsidRDefault="008D4F0C" w:rsidP="008D4F0C">
      <w:pPr>
        <w:pStyle w:val="FootnoteText"/>
        <w:jc w:val="both"/>
        <w:rPr>
          <w:lang w:val="en-US"/>
        </w:rPr>
      </w:pPr>
      <w:r>
        <w:rPr>
          <w:rStyle w:val="FootnoteReference"/>
        </w:rPr>
        <w:footnoteRef/>
      </w:r>
      <w:r w:rsidRPr="00957BE0">
        <w:rPr>
          <w:lang w:val="en-US"/>
        </w:rPr>
        <w:t xml:space="preserve"> </w:t>
      </w:r>
      <w:r>
        <w:rPr>
          <w:i/>
          <w:lang w:val="en-US"/>
        </w:rPr>
        <w:t>U</w:t>
      </w:r>
      <w:r w:rsidRPr="00957BE0">
        <w:rPr>
          <w:i/>
          <w:lang w:val="en-US"/>
        </w:rPr>
        <w:t>.</w:t>
      </w:r>
      <w:r>
        <w:rPr>
          <w:i/>
          <w:lang w:val="en-US"/>
        </w:rPr>
        <w:t>S</w:t>
      </w:r>
      <w:r w:rsidRPr="00957BE0">
        <w:rPr>
          <w:i/>
          <w:lang w:val="en-US"/>
        </w:rPr>
        <w:t xml:space="preserve">. </w:t>
      </w:r>
      <w:r>
        <w:rPr>
          <w:i/>
          <w:lang w:val="en-US"/>
        </w:rPr>
        <w:t>National</w:t>
      </w:r>
      <w:r w:rsidRPr="00957BE0">
        <w:rPr>
          <w:i/>
          <w:lang w:val="en-US"/>
        </w:rPr>
        <w:t xml:space="preserve"> </w:t>
      </w:r>
      <w:r>
        <w:rPr>
          <w:i/>
          <w:lang w:val="en-US"/>
        </w:rPr>
        <w:t>Research</w:t>
      </w:r>
      <w:r w:rsidRPr="00957BE0">
        <w:rPr>
          <w:i/>
          <w:lang w:val="en-US"/>
        </w:rPr>
        <w:t xml:space="preserve"> </w:t>
      </w:r>
      <w:r>
        <w:rPr>
          <w:i/>
          <w:lang w:val="en-US"/>
        </w:rPr>
        <w:t>Council</w:t>
      </w:r>
      <w:r w:rsidRPr="00957BE0">
        <w:rPr>
          <w:i/>
          <w:lang w:val="en-US"/>
        </w:rPr>
        <w:t xml:space="preserve">, </w:t>
      </w:r>
      <w:r>
        <w:rPr>
          <w:lang w:val="en-US"/>
        </w:rPr>
        <w:t>Building</w:t>
      </w:r>
      <w:r w:rsidRPr="00957BE0">
        <w:rPr>
          <w:lang w:val="en-US"/>
        </w:rPr>
        <w:t xml:space="preserve"> </w:t>
      </w:r>
      <w:r>
        <w:rPr>
          <w:lang w:val="en-US"/>
        </w:rPr>
        <w:t>Consensus</w:t>
      </w:r>
      <w:r w:rsidRPr="00957BE0">
        <w:rPr>
          <w:lang w:val="en-US"/>
        </w:rPr>
        <w:t xml:space="preserve"> </w:t>
      </w:r>
      <w:r>
        <w:rPr>
          <w:lang w:val="en-US"/>
        </w:rPr>
        <w:t>Through</w:t>
      </w:r>
      <w:r w:rsidRPr="00957BE0">
        <w:rPr>
          <w:lang w:val="en-US"/>
        </w:rPr>
        <w:t xml:space="preserve"> </w:t>
      </w:r>
      <w:r>
        <w:rPr>
          <w:lang w:val="en-US"/>
        </w:rPr>
        <w:t>Risk</w:t>
      </w:r>
      <w:r w:rsidRPr="00957BE0">
        <w:rPr>
          <w:lang w:val="en-US"/>
        </w:rPr>
        <w:t xml:space="preserve"> </w:t>
      </w:r>
      <w:r>
        <w:rPr>
          <w:lang w:val="en-US"/>
        </w:rPr>
        <w:t>Assessment</w:t>
      </w:r>
      <w:r w:rsidRPr="00957BE0">
        <w:rPr>
          <w:lang w:val="en-US"/>
        </w:rPr>
        <w:t xml:space="preserve"> </w:t>
      </w:r>
      <w:r>
        <w:rPr>
          <w:lang w:val="en-US"/>
        </w:rPr>
        <w:t>and</w:t>
      </w:r>
      <w:r w:rsidRPr="00957BE0">
        <w:rPr>
          <w:lang w:val="en-US"/>
        </w:rPr>
        <w:t xml:space="preserve"> </w:t>
      </w:r>
      <w:r>
        <w:rPr>
          <w:lang w:val="en-US"/>
        </w:rPr>
        <w:t>Management</w:t>
      </w:r>
      <w:r w:rsidRPr="00957BE0">
        <w:rPr>
          <w:lang w:val="en-US"/>
        </w:rPr>
        <w:t xml:space="preserve"> </w:t>
      </w:r>
      <w:r>
        <w:rPr>
          <w:lang w:val="en-US"/>
        </w:rPr>
        <w:t>of</w:t>
      </w:r>
      <w:r w:rsidRPr="00957BE0">
        <w:rPr>
          <w:lang w:val="en-US"/>
        </w:rPr>
        <w:t xml:space="preserve"> </w:t>
      </w:r>
      <w:r>
        <w:rPr>
          <w:lang w:val="en-US"/>
        </w:rPr>
        <w:t>the</w:t>
      </w:r>
      <w:r w:rsidRPr="00957BE0">
        <w:rPr>
          <w:lang w:val="en-US"/>
        </w:rPr>
        <w:t xml:space="preserve"> </w:t>
      </w:r>
      <w:r>
        <w:rPr>
          <w:lang w:val="en-US"/>
        </w:rPr>
        <w:t>Department</w:t>
      </w:r>
      <w:r w:rsidRPr="00957BE0">
        <w:rPr>
          <w:lang w:val="en-US"/>
        </w:rPr>
        <w:t xml:space="preserve"> </w:t>
      </w:r>
      <w:r>
        <w:rPr>
          <w:lang w:val="en-US"/>
        </w:rPr>
        <w:t>of</w:t>
      </w:r>
      <w:r w:rsidRPr="00957BE0">
        <w:rPr>
          <w:lang w:val="en-US"/>
        </w:rPr>
        <w:t xml:space="preserve"> </w:t>
      </w:r>
      <w:r>
        <w:rPr>
          <w:lang w:val="en-US"/>
        </w:rPr>
        <w:t>Energy</w:t>
      </w:r>
      <w:r w:rsidRPr="00957BE0">
        <w:rPr>
          <w:lang w:val="en-US"/>
        </w:rPr>
        <w:t>’</w:t>
      </w:r>
      <w:r>
        <w:rPr>
          <w:lang w:val="en-US"/>
        </w:rPr>
        <w:t>s</w:t>
      </w:r>
      <w:r w:rsidRPr="00957BE0">
        <w:rPr>
          <w:lang w:val="en-US"/>
        </w:rPr>
        <w:t xml:space="preserve"> </w:t>
      </w:r>
      <w:r>
        <w:rPr>
          <w:lang w:val="en-US"/>
        </w:rPr>
        <w:t>Environmental</w:t>
      </w:r>
      <w:r w:rsidRPr="00957BE0">
        <w:rPr>
          <w:lang w:val="en-US"/>
        </w:rPr>
        <w:t xml:space="preserve"> </w:t>
      </w:r>
      <w:r>
        <w:rPr>
          <w:lang w:val="en-US"/>
        </w:rPr>
        <w:t>Remediation</w:t>
      </w:r>
      <w:r w:rsidRPr="00957BE0">
        <w:rPr>
          <w:lang w:val="en-US"/>
        </w:rPr>
        <w:t xml:space="preserve"> </w:t>
      </w:r>
      <w:r>
        <w:rPr>
          <w:lang w:val="en-US"/>
        </w:rPr>
        <w:t>Program</w:t>
      </w:r>
      <w:r w:rsidRPr="00957BE0">
        <w:rPr>
          <w:lang w:val="en-US"/>
        </w:rPr>
        <w:t xml:space="preserve">, </w:t>
      </w:r>
      <w:r>
        <w:rPr>
          <w:lang w:val="en-US"/>
        </w:rPr>
        <w:t>Washington</w:t>
      </w:r>
      <w:r w:rsidRPr="00957BE0">
        <w:rPr>
          <w:lang w:val="en-US"/>
        </w:rPr>
        <w:t xml:space="preserve"> </w:t>
      </w:r>
      <w:r>
        <w:rPr>
          <w:lang w:val="en-US"/>
        </w:rPr>
        <w:t>D</w:t>
      </w:r>
      <w:r w:rsidRPr="00957BE0">
        <w:rPr>
          <w:lang w:val="en-US"/>
        </w:rPr>
        <w:t>.</w:t>
      </w:r>
      <w:r>
        <w:rPr>
          <w:lang w:val="en-US"/>
        </w:rPr>
        <w:t>C</w:t>
      </w:r>
      <w:r w:rsidRPr="00957BE0">
        <w:rPr>
          <w:lang w:val="en-US"/>
        </w:rPr>
        <w:t xml:space="preserve">., 1994, </w:t>
      </w:r>
      <w:r>
        <w:t>σ</w:t>
      </w:r>
      <w:r w:rsidRPr="00957BE0">
        <w:rPr>
          <w:lang w:val="en-US"/>
        </w:rPr>
        <w:t xml:space="preserve">. 26. </w:t>
      </w:r>
      <w:r>
        <w:rPr>
          <w:i/>
          <w:lang w:val="en-US"/>
        </w:rPr>
        <w:t>K</w:t>
      </w:r>
      <w:r w:rsidRPr="006B6331">
        <w:rPr>
          <w:i/>
          <w:lang w:val="en-US"/>
        </w:rPr>
        <w:t xml:space="preserve">. </w:t>
      </w:r>
      <w:r>
        <w:rPr>
          <w:i/>
          <w:lang w:val="en-US"/>
        </w:rPr>
        <w:t>Barrett</w:t>
      </w:r>
      <w:r w:rsidRPr="006B6331">
        <w:rPr>
          <w:lang w:val="en-US"/>
        </w:rPr>
        <w:t>, “</w:t>
      </w:r>
      <w:r>
        <w:rPr>
          <w:lang w:val="en-US"/>
        </w:rPr>
        <w:t>Wrestling</w:t>
      </w:r>
      <w:r w:rsidRPr="006B6331">
        <w:rPr>
          <w:lang w:val="en-US"/>
        </w:rPr>
        <w:t xml:space="preserve"> </w:t>
      </w:r>
      <w:r>
        <w:rPr>
          <w:lang w:val="en-US"/>
        </w:rPr>
        <w:t>with</w:t>
      </w:r>
      <w:r w:rsidRPr="006B6331">
        <w:rPr>
          <w:lang w:val="en-US"/>
        </w:rPr>
        <w:t xml:space="preserve"> </w:t>
      </w:r>
      <w:r>
        <w:rPr>
          <w:lang w:val="en-US"/>
        </w:rPr>
        <w:t>Uncertainty</w:t>
      </w:r>
      <w:r w:rsidRPr="006B6331">
        <w:rPr>
          <w:lang w:val="en-US"/>
        </w:rPr>
        <w:t xml:space="preserve">: </w:t>
      </w:r>
      <w:r>
        <w:rPr>
          <w:lang w:val="en-US"/>
        </w:rPr>
        <w:t>Genetically</w:t>
      </w:r>
      <w:r w:rsidRPr="006B6331">
        <w:rPr>
          <w:lang w:val="en-US"/>
        </w:rPr>
        <w:t xml:space="preserve"> </w:t>
      </w:r>
      <w:r>
        <w:rPr>
          <w:lang w:val="en-US"/>
        </w:rPr>
        <w:t>Modified</w:t>
      </w:r>
      <w:r w:rsidRPr="006B6331">
        <w:rPr>
          <w:lang w:val="en-US"/>
        </w:rPr>
        <w:t xml:space="preserve"> </w:t>
      </w:r>
      <w:r>
        <w:rPr>
          <w:lang w:val="en-US"/>
        </w:rPr>
        <w:t>Organisms</w:t>
      </w:r>
      <w:r w:rsidRPr="006B6331">
        <w:rPr>
          <w:lang w:val="en-US"/>
        </w:rPr>
        <w:t xml:space="preserve">”, </w:t>
      </w:r>
      <w:r>
        <w:rPr>
          <w:lang w:val="en-US"/>
        </w:rPr>
        <w:t>in</w:t>
      </w:r>
      <w:r w:rsidRPr="006B6331">
        <w:rPr>
          <w:lang w:val="en-US"/>
        </w:rPr>
        <w:t xml:space="preserve">: </w:t>
      </w:r>
      <w:r>
        <w:rPr>
          <w:i/>
          <w:lang w:val="en-US"/>
        </w:rPr>
        <w:t>N.J. Meyers, c. Raffensperger</w:t>
      </w:r>
      <w:r>
        <w:rPr>
          <w:lang w:val="en-US"/>
        </w:rPr>
        <w:t xml:space="preserve"> (eds), Precautionary Tools for Reshaping Environmental Policy, Cambridge MA, The MIT Press, 2006, </w:t>
      </w:r>
      <w:r>
        <w:t>σ</w:t>
      </w:r>
      <w:r w:rsidRPr="006B6331">
        <w:rPr>
          <w:lang w:val="en-US"/>
        </w:rPr>
        <w:t>. 2</w:t>
      </w:r>
      <w:r>
        <w:rPr>
          <w:lang w:val="en-US"/>
        </w:rPr>
        <w:t>58</w:t>
      </w:r>
      <w:r w:rsidRPr="00BE21FA">
        <w:rPr>
          <w:lang w:val="en-US"/>
        </w:rPr>
        <w:t>.</w:t>
      </w:r>
      <w:r w:rsidRPr="006B6331">
        <w:rPr>
          <w:lang w:val="en-US"/>
        </w:rPr>
        <w:t xml:space="preserve">  </w:t>
      </w:r>
      <w:r w:rsidRPr="006B6331">
        <w:rPr>
          <w:i/>
          <w:lang w:val="en-US"/>
        </w:rPr>
        <w:t xml:space="preserve"> </w:t>
      </w:r>
    </w:p>
  </w:footnote>
  <w:footnote w:id="159">
    <w:p w:rsidR="008D4F0C" w:rsidRPr="005B31B3" w:rsidRDefault="008D4F0C" w:rsidP="008D4F0C">
      <w:pPr>
        <w:pStyle w:val="FootnoteText"/>
        <w:jc w:val="both"/>
      </w:pPr>
      <w:r w:rsidRPr="005B31B3">
        <w:rPr>
          <w:rStyle w:val="FootnoteReference"/>
        </w:rPr>
        <w:footnoteRef/>
      </w:r>
      <w:r w:rsidRPr="005B31B3">
        <w:t xml:space="preserve"> Αυτό ισχύει στη περίπτωση που ένας ΓΤΟ πρόκειται να διατεθεί στην αγορά (άρθρο 14 (3)(α)).</w:t>
      </w:r>
    </w:p>
  </w:footnote>
  <w:footnote w:id="160">
    <w:p w:rsidR="008D4F0C" w:rsidRPr="005B31B3" w:rsidRDefault="008D4F0C" w:rsidP="008D4F0C">
      <w:pPr>
        <w:pStyle w:val="FootnoteText"/>
        <w:jc w:val="both"/>
        <w:rPr>
          <w:bCs/>
        </w:rPr>
      </w:pPr>
      <w:r w:rsidRPr="005B31B3">
        <w:rPr>
          <w:rStyle w:val="FootnoteReference"/>
        </w:rPr>
        <w:footnoteRef/>
      </w:r>
      <w:r w:rsidRPr="005B31B3">
        <w:t xml:space="preserve"> Ανακοίνωση της Επιτροπής για την αρχή της προφύλαξης,    παρ. 5.2.2.</w:t>
      </w:r>
    </w:p>
  </w:footnote>
  <w:footnote w:id="161">
    <w:p w:rsidR="008D4F0C" w:rsidRPr="00403D53" w:rsidRDefault="008D4F0C" w:rsidP="008D4F0C">
      <w:pPr>
        <w:pStyle w:val="FootnoteText"/>
        <w:jc w:val="both"/>
        <w:rPr>
          <w:lang w:val="en-US"/>
        </w:rPr>
      </w:pPr>
      <w:r>
        <w:rPr>
          <w:rStyle w:val="FootnoteReference"/>
        </w:rPr>
        <w:footnoteRef/>
      </w:r>
      <w:r w:rsidRPr="00EB64FC">
        <w:t xml:space="preserve"> </w:t>
      </w:r>
      <w:r>
        <w:t xml:space="preserve">Η Σύμβαση </w:t>
      </w:r>
      <w:r>
        <w:rPr>
          <w:lang w:val="en-US"/>
        </w:rPr>
        <w:t>Aarhus</w:t>
      </w:r>
      <w:r>
        <w:t xml:space="preserve"> είναι πιο προωθημένη από την ευρωπαϊκή νομοθεσία. Συγκεκριμένα, στην Απόφαση ΙΙ/1 για τους ΓΤΟ που υιοθετήθηκε στη δεύτερη συνάντηση των Μερών (</w:t>
      </w:r>
      <w:r>
        <w:rPr>
          <w:lang w:val="en-US"/>
        </w:rPr>
        <w:t>Almaty</w:t>
      </w:r>
      <w:r w:rsidRPr="00EB64FC">
        <w:t xml:space="preserve"> 2005)</w:t>
      </w:r>
      <w:r>
        <w:t xml:space="preserve"> προβλέπεται ότι «κάθε Μέρος</w:t>
      </w:r>
      <w:r w:rsidRPr="00403D53">
        <w:t xml:space="preserve"> </w:t>
      </w:r>
      <w:r>
        <w:t>θα πρέπει να εξασφαλίζει ότι, όταν λαμβάνονται αποφάσεις σχετικά με την έγκριση σκόπιμης απελευθέρωσης στο περιβάλλον ΓΤΟ, συμπεριλαμβανομένης και της διάθεσης στην αγορά, θα πρέπει να λαμβάνεται κατάλληλα υπόψη το αποτέλεσμα της διαδικασίας συμμετοχής που οργανώθηκε σύμφωνα με την παράγραφο 1.» Βλ</w:t>
      </w:r>
      <w:r w:rsidRPr="00403D53">
        <w:rPr>
          <w:lang w:val="en-US"/>
        </w:rPr>
        <w:t xml:space="preserve">. </w:t>
      </w:r>
      <w:r>
        <w:t>σχετ</w:t>
      </w:r>
      <w:r w:rsidRPr="00403D53">
        <w:rPr>
          <w:lang w:val="en-US"/>
        </w:rPr>
        <w:t xml:space="preserve">., </w:t>
      </w:r>
      <w:r>
        <w:rPr>
          <w:lang w:val="en-US"/>
        </w:rPr>
        <w:t>ECE/MP.PP/2005/2/Add.2, Annex I bis, art. 7.</w:t>
      </w:r>
    </w:p>
  </w:footnote>
  <w:footnote w:id="162">
    <w:p w:rsidR="008D4F0C" w:rsidRPr="00957BE0" w:rsidRDefault="008D4F0C" w:rsidP="008D4F0C">
      <w:pPr>
        <w:pStyle w:val="FootnoteText"/>
        <w:jc w:val="both"/>
      </w:pPr>
      <w:r w:rsidRPr="005B31B3">
        <w:rPr>
          <w:rStyle w:val="FootnoteReference"/>
        </w:rPr>
        <w:footnoteRef/>
      </w:r>
      <w:r w:rsidRPr="005B31B3">
        <w:rPr>
          <w:lang w:val="fr-FR"/>
        </w:rPr>
        <w:t xml:space="preserve"> </w:t>
      </w:r>
      <w:r w:rsidRPr="00876908">
        <w:rPr>
          <w:bCs/>
          <w:i/>
          <w:lang w:val="fr-FR"/>
        </w:rPr>
        <w:t>L. Boy</w:t>
      </w:r>
      <w:r>
        <w:rPr>
          <w:lang w:val="fr-FR"/>
        </w:rPr>
        <w:t xml:space="preserve">, </w:t>
      </w:r>
      <w:r w:rsidRPr="006E71C8">
        <w:rPr>
          <w:lang w:val="fr-FR"/>
        </w:rPr>
        <w:t>“</w:t>
      </w:r>
      <w:r w:rsidRPr="005B31B3">
        <w:rPr>
          <w:lang w:val="fr-FR"/>
        </w:rPr>
        <w:t>La place du principe de précaution dans la directive du 12 mars 2001…..</w:t>
      </w:r>
      <w:r>
        <w:rPr>
          <w:lang w:val="fr-FR"/>
        </w:rPr>
        <w:t> </w:t>
      </w:r>
      <w:r w:rsidRPr="00957BE0">
        <w:t xml:space="preserve">‘’, </w:t>
      </w:r>
      <w:r w:rsidRPr="005B31B3">
        <w:t>ό</w:t>
      </w:r>
      <w:r w:rsidRPr="00957BE0">
        <w:t>.</w:t>
      </w:r>
      <w:r w:rsidRPr="005B31B3">
        <w:t>π</w:t>
      </w:r>
      <w:r w:rsidRPr="00957BE0">
        <w:t xml:space="preserve">., </w:t>
      </w:r>
      <w:r w:rsidRPr="005B31B3">
        <w:t>σ</w:t>
      </w:r>
      <w:r w:rsidRPr="00957BE0">
        <w:t>. 15.</w:t>
      </w:r>
    </w:p>
  </w:footnote>
  <w:footnote w:id="163">
    <w:p w:rsidR="008D4F0C" w:rsidRPr="005B31B3" w:rsidRDefault="008D4F0C" w:rsidP="008D4F0C">
      <w:pPr>
        <w:pStyle w:val="FootnoteText"/>
        <w:jc w:val="both"/>
        <w:rPr>
          <w:lang w:val="fr-FR"/>
        </w:rPr>
      </w:pPr>
      <w:r w:rsidRPr="005B31B3">
        <w:rPr>
          <w:rStyle w:val="FootnoteReference"/>
        </w:rPr>
        <w:footnoteRef/>
      </w:r>
      <w:r w:rsidRPr="005B31B3">
        <w:t xml:space="preserve"> Τέτοιες επεξεργασίες γίνονται τόσο στα κράτη μέλη όσο και στα όργανα της κοινότητας. Βλ</w:t>
      </w:r>
      <w:r w:rsidRPr="005B31B3">
        <w:rPr>
          <w:lang w:val="fr-FR"/>
        </w:rPr>
        <w:t xml:space="preserve">. </w:t>
      </w:r>
      <w:r w:rsidRPr="005B31B3">
        <w:t>σχετ</w:t>
      </w:r>
      <w:r w:rsidRPr="005B31B3">
        <w:rPr>
          <w:lang w:val="fr-FR"/>
        </w:rPr>
        <w:t xml:space="preserve">., </w:t>
      </w:r>
      <w:r w:rsidRPr="00876908">
        <w:rPr>
          <w:bCs/>
          <w:i/>
          <w:lang w:val="fr-FR"/>
        </w:rPr>
        <w:t>C. Babusiaux, J.-Y. Le Deault, D. Sicard, J. Testart</w:t>
      </w:r>
      <w:r w:rsidRPr="005B31B3">
        <w:rPr>
          <w:lang w:val="fr-FR"/>
        </w:rPr>
        <w:t xml:space="preserve">, Rapport a la suite du débat sur les OGM et les essais au champ, Paris, </w:t>
      </w:r>
      <w:smartTag w:uri="urn:schemas-microsoft-com:office:smarttags" w:element="PersonName">
        <w:smartTagPr>
          <w:attr w:name="ProductID" w:val="La Documentation"/>
        </w:smartTagPr>
        <w:r w:rsidRPr="005B31B3">
          <w:rPr>
            <w:lang w:val="fr-FR"/>
          </w:rPr>
          <w:t>La Documentation</w:t>
        </w:r>
      </w:smartTag>
      <w:r w:rsidRPr="005B31B3">
        <w:rPr>
          <w:lang w:val="fr-FR"/>
        </w:rPr>
        <w:t xml:space="preserve"> française, 2002. </w:t>
      </w:r>
    </w:p>
  </w:footnote>
  <w:footnote w:id="164">
    <w:p w:rsidR="008D4F0C" w:rsidRPr="005B31B3" w:rsidRDefault="008D4F0C" w:rsidP="008D4F0C">
      <w:pPr>
        <w:pStyle w:val="FootnoteText"/>
        <w:jc w:val="both"/>
        <w:rPr>
          <w:lang w:val="fr-FR"/>
        </w:rPr>
      </w:pPr>
      <w:r w:rsidRPr="005B31B3">
        <w:rPr>
          <w:rStyle w:val="FootnoteReference"/>
        </w:rPr>
        <w:footnoteRef/>
      </w:r>
      <w:r w:rsidRPr="005B31B3">
        <w:rPr>
          <w:lang w:val="fr-FR"/>
        </w:rPr>
        <w:t xml:space="preserve"> </w:t>
      </w:r>
      <w:r w:rsidRPr="00876908">
        <w:rPr>
          <w:bCs/>
          <w:i/>
          <w:lang w:val="fr-FR"/>
        </w:rPr>
        <w:t>R. Encinas de Munangorri</w:t>
      </w:r>
      <w:r>
        <w:rPr>
          <w:lang w:val="fr-FR"/>
        </w:rPr>
        <w:t>, ‘‘</w:t>
      </w:r>
      <w:r w:rsidRPr="005B31B3">
        <w:rPr>
          <w:lang w:val="fr-FR"/>
        </w:rPr>
        <w:t>Expertise scientif</w:t>
      </w:r>
      <w:r>
        <w:rPr>
          <w:lang w:val="fr-FR"/>
        </w:rPr>
        <w:t>ique et décision de précaution’’</w:t>
      </w:r>
      <w:r w:rsidRPr="005B31B3">
        <w:rPr>
          <w:lang w:val="fr-FR"/>
        </w:rPr>
        <w:t xml:space="preserve">, Revue Juridique de l’Environnement, No spécial, 2000, </w:t>
      </w:r>
      <w:r w:rsidRPr="005B31B3">
        <w:t>σ</w:t>
      </w:r>
      <w:r w:rsidRPr="005B31B3">
        <w:rPr>
          <w:lang w:val="fr-FR"/>
        </w:rPr>
        <w:t>. 67-73.</w:t>
      </w:r>
    </w:p>
  </w:footnote>
  <w:footnote w:id="165">
    <w:p w:rsidR="008D4F0C" w:rsidRDefault="008D4F0C" w:rsidP="008D4F0C">
      <w:pPr>
        <w:pStyle w:val="FootnoteText"/>
      </w:pPr>
      <w:r>
        <w:rPr>
          <w:rStyle w:val="FootnoteReference"/>
        </w:rPr>
        <w:footnoteRef/>
      </w:r>
      <w:r>
        <w:t xml:space="preserve"> Άρθρο 28 και προοίμιο, αιτιολογικές σκέψεις 5, 18, 21, 45 και 56 της</w:t>
      </w:r>
      <w:r w:rsidRPr="000B780E">
        <w:t xml:space="preserve"> </w:t>
      </w:r>
      <w:r>
        <w:t>Οδηγίας 2001/18.</w:t>
      </w:r>
    </w:p>
  </w:footnote>
  <w:footnote w:id="166">
    <w:p w:rsidR="008D4F0C" w:rsidRPr="00957BE0" w:rsidRDefault="008D4F0C" w:rsidP="008D4F0C">
      <w:pPr>
        <w:pStyle w:val="FootnoteText"/>
        <w:rPr>
          <w:lang w:val="en-US"/>
        </w:rPr>
      </w:pPr>
      <w:r>
        <w:rPr>
          <w:rStyle w:val="FootnoteReference"/>
        </w:rPr>
        <w:footnoteRef/>
      </w:r>
      <w:r w:rsidRPr="00957BE0">
        <w:rPr>
          <w:lang w:val="en-US"/>
        </w:rPr>
        <w:t xml:space="preserve"> </w:t>
      </w:r>
      <w:r>
        <w:t>Άρθρο</w:t>
      </w:r>
      <w:r w:rsidRPr="00957BE0">
        <w:rPr>
          <w:lang w:val="en-US"/>
        </w:rPr>
        <w:t xml:space="preserve"> 4 </w:t>
      </w:r>
      <w:r>
        <w:t>της</w:t>
      </w:r>
      <w:r w:rsidRPr="00957BE0">
        <w:rPr>
          <w:lang w:val="en-US"/>
        </w:rPr>
        <w:t xml:space="preserve"> </w:t>
      </w:r>
      <w:r>
        <w:t>Οδηγίας</w:t>
      </w:r>
      <w:r w:rsidRPr="00957BE0">
        <w:rPr>
          <w:lang w:val="en-US"/>
        </w:rPr>
        <w:t xml:space="preserve"> 2001/18.</w:t>
      </w:r>
    </w:p>
  </w:footnote>
  <w:footnote w:id="167">
    <w:p w:rsidR="008D4F0C" w:rsidRPr="000B780E" w:rsidRDefault="008D4F0C" w:rsidP="008D4F0C">
      <w:pPr>
        <w:pStyle w:val="FootnoteText"/>
        <w:jc w:val="both"/>
        <w:rPr>
          <w:lang w:val="en-US"/>
        </w:rPr>
      </w:pPr>
      <w:r>
        <w:rPr>
          <w:rStyle w:val="FootnoteReference"/>
        </w:rPr>
        <w:footnoteRef/>
      </w:r>
      <w:r w:rsidRPr="000B780E">
        <w:rPr>
          <w:lang w:val="en-US"/>
        </w:rPr>
        <w:t xml:space="preserve"> </w:t>
      </w:r>
      <w:r>
        <w:rPr>
          <w:i/>
          <w:lang w:val="en-US"/>
        </w:rPr>
        <w:t>M. Kritikos,</w:t>
      </w:r>
      <w:r>
        <w:rPr>
          <w:lang w:val="en-US"/>
        </w:rPr>
        <w:t xml:space="preserve"> “Traditional risk analysis and release of GMOs into the European Union: Space for non-scientific factors?”</w:t>
      </w:r>
      <w:r w:rsidRPr="000B780E">
        <w:rPr>
          <w:lang w:val="en-US"/>
        </w:rPr>
        <w:t xml:space="preserve"> </w:t>
      </w:r>
      <w:r>
        <w:t>ό</w:t>
      </w:r>
      <w:r w:rsidRPr="000B780E">
        <w:rPr>
          <w:lang w:val="en-US"/>
        </w:rPr>
        <w:t>.</w:t>
      </w:r>
      <w:r>
        <w:t>π</w:t>
      </w:r>
      <w:r w:rsidRPr="000B780E">
        <w:rPr>
          <w:lang w:val="en-US"/>
        </w:rPr>
        <w:t xml:space="preserve">., </w:t>
      </w:r>
      <w:r>
        <w:t>σ</w:t>
      </w:r>
      <w:r w:rsidRPr="000B780E">
        <w:rPr>
          <w:lang w:val="en-US"/>
        </w:rPr>
        <w:t>. 413.</w:t>
      </w:r>
    </w:p>
  </w:footnote>
  <w:footnote w:id="168">
    <w:p w:rsidR="008D4F0C" w:rsidRPr="000B780E" w:rsidRDefault="008D4F0C" w:rsidP="008D4F0C">
      <w:pPr>
        <w:pStyle w:val="FootnoteText"/>
        <w:jc w:val="both"/>
      </w:pPr>
      <w:r w:rsidRPr="005B31B3">
        <w:rPr>
          <w:rStyle w:val="FootnoteReference"/>
        </w:rPr>
        <w:footnoteRef/>
      </w:r>
      <w:r w:rsidRPr="000B780E">
        <w:t xml:space="preserve"> </w:t>
      </w:r>
      <w:r>
        <w:t>Άρθρα</w:t>
      </w:r>
      <w:r w:rsidRPr="000B780E">
        <w:t xml:space="preserve"> 28 </w:t>
      </w:r>
      <w:r>
        <w:t>και</w:t>
      </w:r>
      <w:r w:rsidRPr="000B780E">
        <w:t xml:space="preserve"> 29 </w:t>
      </w:r>
      <w:r>
        <w:t>της</w:t>
      </w:r>
      <w:r w:rsidRPr="000B780E">
        <w:t xml:space="preserve"> </w:t>
      </w:r>
      <w:r>
        <w:t>οδηγίας</w:t>
      </w:r>
      <w:r w:rsidRPr="000B780E">
        <w:t xml:space="preserve"> 2001/18.</w:t>
      </w:r>
    </w:p>
  </w:footnote>
  <w:footnote w:id="169">
    <w:p w:rsidR="008D4F0C" w:rsidRPr="0077042E" w:rsidRDefault="008D4F0C" w:rsidP="008D4F0C">
      <w:pPr>
        <w:pStyle w:val="FootnoteText"/>
        <w:jc w:val="both"/>
      </w:pPr>
      <w:r>
        <w:rPr>
          <w:rStyle w:val="FootnoteReference"/>
        </w:rPr>
        <w:footnoteRef/>
      </w:r>
      <w:r>
        <w:t xml:space="preserve"> Υπόθεση </w:t>
      </w:r>
      <w:r>
        <w:rPr>
          <w:lang w:val="en-US"/>
        </w:rPr>
        <w:t>C</w:t>
      </w:r>
      <w:r>
        <w:t>-165/08 Επιτροπή κατά Πολωνίας [2009] Συλλ Ι-6843.</w:t>
      </w:r>
    </w:p>
  </w:footnote>
  <w:footnote w:id="170">
    <w:p w:rsidR="008D4F0C" w:rsidRPr="0077042E" w:rsidRDefault="008D4F0C" w:rsidP="008D4F0C">
      <w:pPr>
        <w:pStyle w:val="FootnoteText"/>
      </w:pPr>
      <w:r>
        <w:rPr>
          <w:rStyle w:val="FootnoteReference"/>
        </w:rPr>
        <w:footnoteRef/>
      </w:r>
      <w:r>
        <w:t xml:space="preserve"> </w:t>
      </w:r>
      <w:r w:rsidRPr="000E35B3">
        <w:rPr>
          <w:i/>
          <w:lang w:val="en-US"/>
        </w:rPr>
        <w:t>Ibid</w:t>
      </w:r>
      <w:r w:rsidRPr="00FE6887">
        <w:t xml:space="preserve">., </w:t>
      </w:r>
      <w:r>
        <w:t>σκ. 50.</w:t>
      </w:r>
    </w:p>
  </w:footnote>
  <w:footnote w:id="171">
    <w:p w:rsidR="008D4F0C" w:rsidRDefault="008D4F0C" w:rsidP="008D4F0C">
      <w:pPr>
        <w:pStyle w:val="FootnoteText"/>
      </w:pPr>
      <w:r>
        <w:rPr>
          <w:rStyle w:val="FootnoteReference"/>
        </w:rPr>
        <w:footnoteRef/>
      </w:r>
      <w:r>
        <w:t xml:space="preserve"> </w:t>
      </w:r>
      <w:r w:rsidRPr="000E35B3">
        <w:rPr>
          <w:i/>
          <w:lang w:val="en-US"/>
        </w:rPr>
        <w:t>Ibid</w:t>
      </w:r>
      <w:r w:rsidRPr="00FE6887">
        <w:t xml:space="preserve">., </w:t>
      </w:r>
      <w:r>
        <w:t>σκ. 51 και 52.</w:t>
      </w:r>
    </w:p>
  </w:footnote>
  <w:footnote w:id="172">
    <w:p w:rsidR="008D4F0C" w:rsidRPr="00340FA4" w:rsidRDefault="008D4F0C" w:rsidP="008D4F0C">
      <w:pPr>
        <w:pStyle w:val="FootnoteText"/>
        <w:jc w:val="both"/>
      </w:pPr>
      <w:r>
        <w:rPr>
          <w:rStyle w:val="FootnoteReference"/>
        </w:rPr>
        <w:footnoteRef/>
      </w:r>
      <w:r w:rsidRPr="00340FA4">
        <w:t xml:space="preserve"> </w:t>
      </w:r>
      <w:r>
        <w:t xml:space="preserve">Αυτό προκύπτει από το άρθρο 31(7) της οδηγίας σύμφωνα με το οποίο η Επιτροπή στην ανά τριετία έκθεσή της προς το Ευρωπαϊκό Κοινοβούλιο και το Συμβούλιο θα πρέπει να υποβάλει και αξιολόγηση των κοινωνικοοικονομικών συνεπειών. </w:t>
      </w:r>
    </w:p>
  </w:footnote>
  <w:footnote w:id="173">
    <w:p w:rsidR="008D4F0C" w:rsidRPr="003A44A7" w:rsidRDefault="008D4F0C" w:rsidP="008D4F0C">
      <w:pPr>
        <w:pStyle w:val="FootnoteText"/>
      </w:pPr>
      <w:r>
        <w:rPr>
          <w:rStyle w:val="FootnoteReference"/>
        </w:rPr>
        <w:footnoteRef/>
      </w:r>
      <w:r w:rsidRPr="003A44A7">
        <w:t xml:space="preserve"> </w:t>
      </w:r>
      <w:r>
        <w:t>Οδηγία</w:t>
      </w:r>
      <w:r w:rsidRPr="003A44A7">
        <w:t xml:space="preserve"> 2001/18</w:t>
      </w:r>
      <w:r>
        <w:t>/ΕΚ</w:t>
      </w:r>
      <w:r w:rsidRPr="003A44A7">
        <w:t xml:space="preserve">, </w:t>
      </w:r>
      <w:r>
        <w:t>Προοίμιο</w:t>
      </w:r>
      <w:r w:rsidRPr="003A44A7">
        <w:t xml:space="preserve">, </w:t>
      </w:r>
      <w:r>
        <w:t>αιτιολογική</w:t>
      </w:r>
      <w:r w:rsidRPr="003A44A7">
        <w:t xml:space="preserve"> </w:t>
      </w:r>
      <w:r>
        <w:t>σκέψη</w:t>
      </w:r>
      <w:r w:rsidRPr="003A44A7">
        <w:t xml:space="preserve"> 62.</w:t>
      </w:r>
    </w:p>
  </w:footnote>
  <w:footnote w:id="174">
    <w:p w:rsidR="008D4F0C" w:rsidRPr="00047210" w:rsidRDefault="008D4F0C" w:rsidP="008D4F0C">
      <w:pPr>
        <w:pStyle w:val="FootnoteText"/>
        <w:jc w:val="both"/>
      </w:pPr>
      <w:r>
        <w:rPr>
          <w:rStyle w:val="FootnoteReference"/>
        </w:rPr>
        <w:footnoteRef/>
      </w:r>
      <w:r w:rsidRPr="00047210">
        <w:t xml:space="preserve"> </w:t>
      </w:r>
      <w:r>
        <w:t>Βλ</w:t>
      </w:r>
      <w:r w:rsidRPr="00047210">
        <w:t xml:space="preserve">., </w:t>
      </w:r>
      <w:r>
        <w:t>υπόθεση</w:t>
      </w:r>
      <w:r w:rsidRPr="00047210">
        <w:t xml:space="preserve"> </w:t>
      </w:r>
      <w:r>
        <w:rPr>
          <w:lang w:val="en-US"/>
        </w:rPr>
        <w:t>C</w:t>
      </w:r>
      <w:r w:rsidRPr="00047210">
        <w:t xml:space="preserve">-254/98 </w:t>
      </w:r>
      <w:r>
        <w:rPr>
          <w:lang w:val="en-US"/>
        </w:rPr>
        <w:t>Schutzverband</w:t>
      </w:r>
      <w:r w:rsidRPr="00047210">
        <w:t xml:space="preserve"> </w:t>
      </w:r>
      <w:r>
        <w:rPr>
          <w:lang w:val="en-US"/>
        </w:rPr>
        <w:t>gegen</w:t>
      </w:r>
      <w:r w:rsidRPr="00047210">
        <w:t xml:space="preserve"> </w:t>
      </w:r>
      <w:r>
        <w:rPr>
          <w:lang w:val="en-US"/>
        </w:rPr>
        <w:t>unlauteren</w:t>
      </w:r>
      <w:r w:rsidRPr="00047210">
        <w:t xml:space="preserve"> </w:t>
      </w:r>
      <w:r>
        <w:rPr>
          <w:lang w:val="en-US"/>
        </w:rPr>
        <w:t>Wettbewerb</w:t>
      </w:r>
      <w:r w:rsidRPr="00047210">
        <w:t xml:space="preserve"> [2000] </w:t>
      </w:r>
      <w:r>
        <w:t>Συλ</w:t>
      </w:r>
      <w:r w:rsidRPr="00047210">
        <w:t xml:space="preserve"> </w:t>
      </w:r>
      <w:r>
        <w:rPr>
          <w:lang w:val="en-US"/>
        </w:rPr>
        <w:t>I</w:t>
      </w:r>
      <w:r w:rsidRPr="00047210">
        <w:t xml:space="preserve">-151, </w:t>
      </w:r>
      <w:r>
        <w:t>σκ</w:t>
      </w:r>
      <w:r w:rsidRPr="00047210">
        <w:t xml:space="preserve">. 33, </w:t>
      </w:r>
      <w:r>
        <w:t xml:space="preserve">υπόθεση </w:t>
      </w:r>
      <w:r>
        <w:rPr>
          <w:lang w:val="en-US"/>
        </w:rPr>
        <w:t>C</w:t>
      </w:r>
      <w:r w:rsidRPr="00047210">
        <w:t xml:space="preserve">-158/96 </w:t>
      </w:r>
      <w:r>
        <w:rPr>
          <w:lang w:val="en-US"/>
        </w:rPr>
        <w:t>Kohll</w:t>
      </w:r>
      <w:r w:rsidRPr="00047210">
        <w:t xml:space="preserve"> [1998] </w:t>
      </w:r>
      <w:r>
        <w:t xml:space="preserve">Συλλ </w:t>
      </w:r>
      <w:r>
        <w:rPr>
          <w:lang w:val="en-US"/>
        </w:rPr>
        <w:t>I</w:t>
      </w:r>
      <w:r w:rsidRPr="00047210">
        <w:t>-1931</w:t>
      </w:r>
      <w:r>
        <w:t>, σκ.</w:t>
      </w:r>
      <w:r w:rsidRPr="00047210">
        <w:t xml:space="preserve"> 41</w:t>
      </w:r>
      <w:r>
        <w:t>.</w:t>
      </w:r>
    </w:p>
  </w:footnote>
  <w:footnote w:id="175">
    <w:p w:rsidR="008D4F0C" w:rsidRPr="00E01AC3" w:rsidRDefault="008D4F0C" w:rsidP="008D4F0C">
      <w:pPr>
        <w:pStyle w:val="FootnoteText"/>
        <w:jc w:val="both"/>
        <w:rPr>
          <w:lang w:val="en-US"/>
        </w:rPr>
      </w:pPr>
      <w:r>
        <w:rPr>
          <w:rStyle w:val="FootnoteReference"/>
        </w:rPr>
        <w:footnoteRef/>
      </w:r>
      <w:r w:rsidRPr="00E01AC3">
        <w:rPr>
          <w:lang w:val="en-US"/>
        </w:rPr>
        <w:t xml:space="preserve"> </w:t>
      </w:r>
      <w:r>
        <w:rPr>
          <w:i/>
          <w:lang w:val="en-US"/>
        </w:rPr>
        <w:t>D.J, Fiorino</w:t>
      </w:r>
      <w:r>
        <w:rPr>
          <w:lang w:val="en-US"/>
        </w:rPr>
        <w:t xml:space="preserve">, “Citizen Participation and Environmental Risk: A Survey of Institutional Mechanisms”, Science, Technology &amp; Human Values, Vol. 15, 1990, </w:t>
      </w:r>
      <w:r>
        <w:t>σ</w:t>
      </w:r>
      <w:r w:rsidRPr="00E01AC3">
        <w:rPr>
          <w:lang w:val="en-US"/>
        </w:rPr>
        <w:t xml:space="preserve">. 234. </w:t>
      </w:r>
      <w:r>
        <w:t>Ομοίως</w:t>
      </w:r>
      <w:r w:rsidRPr="00E01AC3">
        <w:rPr>
          <w:lang w:val="en-US"/>
        </w:rPr>
        <w:t xml:space="preserve">, </w:t>
      </w:r>
      <w:r>
        <w:rPr>
          <w:i/>
          <w:lang w:val="en-US"/>
        </w:rPr>
        <w:t>G. Horning</w:t>
      </w:r>
      <w:r>
        <w:rPr>
          <w:lang w:val="en-US"/>
        </w:rPr>
        <w:t xml:space="preserve">, “Citizen’s Panels as a Form of Deliberative Technology Assessment”, Science &amp; Public Policy, Vol. 26, 1999, </w:t>
      </w:r>
      <w:r>
        <w:t>σ</w:t>
      </w:r>
      <w:r w:rsidRPr="00E01AC3">
        <w:rPr>
          <w:lang w:val="en-US"/>
        </w:rPr>
        <w:t>. 358.</w:t>
      </w:r>
    </w:p>
  </w:footnote>
  <w:footnote w:id="176">
    <w:p w:rsidR="008D4F0C" w:rsidRPr="005075C1" w:rsidRDefault="008D4F0C" w:rsidP="008D4F0C">
      <w:pPr>
        <w:pStyle w:val="FootnoteText"/>
      </w:pPr>
      <w:r>
        <w:rPr>
          <w:rStyle w:val="FootnoteReference"/>
        </w:rPr>
        <w:footnoteRef/>
      </w:r>
      <w:r w:rsidRPr="005075C1">
        <w:t xml:space="preserve"> </w:t>
      </w:r>
      <w:r>
        <w:t xml:space="preserve">Βλ., </w:t>
      </w:r>
      <w:r>
        <w:rPr>
          <w:lang w:val="en-US"/>
        </w:rPr>
        <w:t>supra</w:t>
      </w:r>
      <w:r w:rsidRPr="005075C1">
        <w:t xml:space="preserve">, </w:t>
      </w:r>
      <w:r>
        <w:t>στο κεφάλαιο για το Πρωτόκολλο της Καρθαγένης.</w:t>
      </w:r>
    </w:p>
  </w:footnote>
  <w:footnote w:id="177">
    <w:p w:rsidR="008D4F0C" w:rsidRPr="002B667E" w:rsidRDefault="008D4F0C" w:rsidP="008D4F0C">
      <w:pPr>
        <w:pStyle w:val="FootnoteText"/>
      </w:pPr>
      <w:r>
        <w:rPr>
          <w:rStyle w:val="FootnoteReference"/>
        </w:rPr>
        <w:footnoteRef/>
      </w:r>
      <w:r w:rsidRPr="002B667E">
        <w:t xml:space="preserve"> </w:t>
      </w:r>
      <w:r>
        <w:t xml:space="preserve">Βλ., </w:t>
      </w:r>
      <w:r>
        <w:rPr>
          <w:lang w:val="en-US"/>
        </w:rPr>
        <w:t>supra</w:t>
      </w:r>
      <w:r w:rsidRPr="002B667E">
        <w:t xml:space="preserve">, </w:t>
      </w:r>
      <w:r>
        <w:t xml:space="preserve">στο κεφάλαιο 6.2. για την ανάλυση του κινδύνου. </w:t>
      </w:r>
    </w:p>
  </w:footnote>
  <w:footnote w:id="178">
    <w:p w:rsidR="008D4F0C" w:rsidRPr="00C65A35" w:rsidRDefault="008D4F0C" w:rsidP="008D4F0C">
      <w:pPr>
        <w:pStyle w:val="FootnoteText"/>
        <w:jc w:val="both"/>
        <w:rPr>
          <w:lang w:val="en-US"/>
        </w:rPr>
      </w:pPr>
      <w:r>
        <w:rPr>
          <w:rStyle w:val="FootnoteReference"/>
        </w:rPr>
        <w:footnoteRef/>
      </w:r>
      <w:r w:rsidRPr="00C65A35">
        <w:rPr>
          <w:lang w:val="en-US"/>
        </w:rPr>
        <w:t xml:space="preserve"> </w:t>
      </w:r>
      <w:r>
        <w:rPr>
          <w:i/>
          <w:lang w:val="en-US"/>
        </w:rPr>
        <w:t>E</w:t>
      </w:r>
      <w:r w:rsidRPr="00D46432">
        <w:rPr>
          <w:i/>
          <w:lang w:val="en-US"/>
        </w:rPr>
        <w:t xml:space="preserve">. </w:t>
      </w:r>
      <w:r>
        <w:rPr>
          <w:i/>
          <w:lang w:val="en-US"/>
        </w:rPr>
        <w:t>Gay</w:t>
      </w:r>
      <w:r w:rsidRPr="00C65A35">
        <w:rPr>
          <w:i/>
          <w:lang w:val="en-US"/>
        </w:rPr>
        <w:t xml:space="preserve"> </w:t>
      </w:r>
      <w:r>
        <w:rPr>
          <w:i/>
          <w:lang w:val="en-US"/>
        </w:rPr>
        <w:t>Jones</w:t>
      </w:r>
      <w:r>
        <w:rPr>
          <w:lang w:val="en-US"/>
        </w:rPr>
        <w:t>, “Risky Assessments: Uncertainties in Science and Human Dimensions of Environmental Decision-making”,</w:t>
      </w:r>
      <w:r w:rsidRPr="00C65A35">
        <w:rPr>
          <w:lang w:val="en-US"/>
        </w:rPr>
        <w:t xml:space="preserve"> </w:t>
      </w:r>
      <w:r>
        <w:t>ό</w:t>
      </w:r>
      <w:r w:rsidRPr="00C65A35">
        <w:rPr>
          <w:lang w:val="en-US"/>
        </w:rPr>
        <w:t>.</w:t>
      </w:r>
      <w:r>
        <w:t>π</w:t>
      </w:r>
      <w:r w:rsidRPr="00C65A35">
        <w:rPr>
          <w:lang w:val="en-US"/>
        </w:rPr>
        <w:t xml:space="preserve">., </w:t>
      </w:r>
      <w:r>
        <w:t>σ</w:t>
      </w:r>
      <w:r w:rsidRPr="00C65A35">
        <w:rPr>
          <w:lang w:val="en-US"/>
        </w:rPr>
        <w:t>. 36.</w:t>
      </w:r>
    </w:p>
  </w:footnote>
  <w:footnote w:id="179">
    <w:p w:rsidR="008D4F0C" w:rsidRPr="00AC02C8" w:rsidRDefault="008D4F0C" w:rsidP="008D4F0C">
      <w:pPr>
        <w:pStyle w:val="FootnoteText"/>
        <w:rPr>
          <w:lang w:val="en-US"/>
        </w:rPr>
      </w:pPr>
      <w:r>
        <w:rPr>
          <w:rStyle w:val="FootnoteReference"/>
        </w:rPr>
        <w:footnoteRef/>
      </w:r>
      <w:r w:rsidRPr="00AC02C8">
        <w:rPr>
          <w:lang w:val="en-US"/>
        </w:rPr>
        <w:t xml:space="preserve"> </w:t>
      </w:r>
      <w:r>
        <w:rPr>
          <w:i/>
          <w:lang w:val="en-US"/>
        </w:rPr>
        <w:t>M</w:t>
      </w:r>
      <w:r w:rsidRPr="00AC02C8">
        <w:rPr>
          <w:i/>
          <w:lang w:val="en-US"/>
        </w:rPr>
        <w:t>.</w:t>
      </w:r>
      <w:r>
        <w:rPr>
          <w:i/>
          <w:lang w:val="en-US"/>
        </w:rPr>
        <w:t>B</w:t>
      </w:r>
      <w:r w:rsidRPr="00AC02C8">
        <w:rPr>
          <w:i/>
          <w:lang w:val="en-US"/>
        </w:rPr>
        <w:t>.</w:t>
      </w:r>
      <w:r>
        <w:rPr>
          <w:i/>
          <w:lang w:val="en-US"/>
        </w:rPr>
        <w:t>A</w:t>
      </w:r>
      <w:r w:rsidRPr="00AC02C8">
        <w:rPr>
          <w:i/>
          <w:lang w:val="en-US"/>
        </w:rPr>
        <w:t xml:space="preserve">. </w:t>
      </w:r>
      <w:r>
        <w:rPr>
          <w:i/>
          <w:lang w:val="en-US"/>
        </w:rPr>
        <w:t>van</w:t>
      </w:r>
      <w:r w:rsidRPr="00AC02C8">
        <w:rPr>
          <w:i/>
          <w:lang w:val="en-US"/>
        </w:rPr>
        <w:t xml:space="preserve"> </w:t>
      </w:r>
      <w:r>
        <w:rPr>
          <w:i/>
          <w:lang w:val="en-US"/>
        </w:rPr>
        <w:t>Asselt</w:t>
      </w:r>
      <w:r w:rsidRPr="00AC02C8">
        <w:rPr>
          <w:i/>
          <w:lang w:val="en-US"/>
        </w:rPr>
        <w:t xml:space="preserve">, </w:t>
      </w:r>
      <w:r>
        <w:rPr>
          <w:i/>
          <w:lang w:val="en-US"/>
        </w:rPr>
        <w:t>O</w:t>
      </w:r>
      <w:r w:rsidRPr="00AC02C8">
        <w:rPr>
          <w:i/>
          <w:lang w:val="en-US"/>
        </w:rPr>
        <w:t xml:space="preserve">. </w:t>
      </w:r>
      <w:r>
        <w:rPr>
          <w:i/>
          <w:lang w:val="en-US"/>
        </w:rPr>
        <w:t>Renn</w:t>
      </w:r>
      <w:r w:rsidRPr="00AC02C8">
        <w:rPr>
          <w:lang w:val="en-US"/>
        </w:rPr>
        <w:t>, “</w:t>
      </w:r>
      <w:r>
        <w:rPr>
          <w:lang w:val="en-US"/>
        </w:rPr>
        <w:t>Risk</w:t>
      </w:r>
      <w:r w:rsidRPr="00AC02C8">
        <w:rPr>
          <w:lang w:val="en-US"/>
        </w:rPr>
        <w:t xml:space="preserve"> </w:t>
      </w:r>
      <w:r>
        <w:rPr>
          <w:lang w:val="en-US"/>
        </w:rPr>
        <w:t>governance</w:t>
      </w:r>
      <w:r w:rsidRPr="00AC02C8">
        <w:rPr>
          <w:lang w:val="en-US"/>
        </w:rPr>
        <w:t xml:space="preserve">”, </w:t>
      </w:r>
      <w:r>
        <w:t>ό</w:t>
      </w:r>
      <w:r w:rsidRPr="00AC02C8">
        <w:rPr>
          <w:lang w:val="en-US"/>
        </w:rPr>
        <w:t>.</w:t>
      </w:r>
      <w:r>
        <w:t>π</w:t>
      </w:r>
      <w:r w:rsidRPr="00AC02C8">
        <w:rPr>
          <w:lang w:val="en-US"/>
        </w:rPr>
        <w:t xml:space="preserve">., </w:t>
      </w:r>
      <w:r>
        <w:t>σ</w:t>
      </w:r>
      <w:r w:rsidRPr="00AC02C8">
        <w:rPr>
          <w:lang w:val="en-US"/>
        </w:rPr>
        <w:t>. 440.</w:t>
      </w:r>
    </w:p>
  </w:footnote>
  <w:footnote w:id="180">
    <w:p w:rsidR="008D4F0C" w:rsidRPr="005626A1" w:rsidRDefault="008D4F0C" w:rsidP="008D4F0C">
      <w:pPr>
        <w:pStyle w:val="FootnoteText"/>
        <w:jc w:val="both"/>
        <w:rPr>
          <w:lang w:val="en-US"/>
        </w:rPr>
      </w:pPr>
      <w:r>
        <w:rPr>
          <w:rStyle w:val="FootnoteReference"/>
        </w:rPr>
        <w:footnoteRef/>
      </w:r>
      <w:r w:rsidRPr="00AA6470">
        <w:rPr>
          <w:lang w:val="en-US"/>
        </w:rPr>
        <w:t xml:space="preserve"> </w:t>
      </w:r>
      <w:r>
        <w:rPr>
          <w:i/>
          <w:lang w:val="en-US"/>
        </w:rPr>
        <w:t>M.C. Powell, M. Colin</w:t>
      </w:r>
      <w:r>
        <w:rPr>
          <w:lang w:val="en-US"/>
        </w:rPr>
        <w:t xml:space="preserve">, “Participatory Paradoxes”, Bulletin of Science, Technology &amp; Society, Vol. 29(4), 2009, </w:t>
      </w:r>
      <w:r>
        <w:t>σ</w:t>
      </w:r>
      <w:r w:rsidRPr="00AA6470">
        <w:rPr>
          <w:lang w:val="en-US"/>
        </w:rPr>
        <w:t>. 326.</w:t>
      </w:r>
      <w:r w:rsidRPr="005626A1">
        <w:rPr>
          <w:lang w:val="en-US"/>
        </w:rPr>
        <w:t xml:space="preserve"> </w:t>
      </w:r>
      <w:r>
        <w:rPr>
          <w:i/>
          <w:lang w:val="en-US"/>
        </w:rPr>
        <w:t>J.S. Dryzek et al.</w:t>
      </w:r>
      <w:r>
        <w:rPr>
          <w:lang w:val="en-US"/>
        </w:rPr>
        <w:t xml:space="preserve">, “Promethean Elites Encounter Precautionary Publics: The Case of GM Foods”, Science, Technology &amp; Human Values, Vol. 34(3), 2009, </w:t>
      </w:r>
      <w:r>
        <w:t>σ</w:t>
      </w:r>
      <w:r w:rsidRPr="005626A1">
        <w:rPr>
          <w:lang w:val="en-US"/>
        </w:rPr>
        <w:t>. 264.</w:t>
      </w:r>
    </w:p>
  </w:footnote>
  <w:footnote w:id="181">
    <w:p w:rsidR="008D4F0C" w:rsidRPr="003238AB" w:rsidRDefault="008D4F0C" w:rsidP="008D4F0C">
      <w:pPr>
        <w:pStyle w:val="FootnoteText"/>
        <w:rPr>
          <w:lang w:val="en-US"/>
        </w:rPr>
      </w:pPr>
      <w:r>
        <w:rPr>
          <w:rStyle w:val="FootnoteReference"/>
        </w:rPr>
        <w:footnoteRef/>
      </w:r>
      <w:r w:rsidRPr="003238AB">
        <w:rPr>
          <w:lang w:val="en-US"/>
        </w:rPr>
        <w:t xml:space="preserve"> </w:t>
      </w:r>
      <w:r>
        <w:rPr>
          <w:i/>
          <w:lang w:val="en-US"/>
        </w:rPr>
        <w:t>G. Horning</w:t>
      </w:r>
      <w:r>
        <w:rPr>
          <w:lang w:val="en-US"/>
        </w:rPr>
        <w:t>,</w:t>
      </w:r>
      <w:r w:rsidRPr="003238AB">
        <w:rPr>
          <w:lang w:val="en-US"/>
        </w:rPr>
        <w:t xml:space="preserve"> </w:t>
      </w:r>
      <w:r>
        <w:t>ό</w:t>
      </w:r>
      <w:r w:rsidRPr="003238AB">
        <w:rPr>
          <w:lang w:val="en-US"/>
        </w:rPr>
        <w:t>.</w:t>
      </w:r>
      <w:r>
        <w:t>π</w:t>
      </w:r>
      <w:r w:rsidRPr="003238AB">
        <w:rPr>
          <w:lang w:val="en-US"/>
        </w:rPr>
        <w:t xml:space="preserve">., </w:t>
      </w:r>
      <w:r>
        <w:t>σ</w:t>
      </w:r>
      <w:r w:rsidRPr="003238AB">
        <w:rPr>
          <w:lang w:val="en-US"/>
        </w:rPr>
        <w:t>. 352.</w:t>
      </w:r>
    </w:p>
  </w:footnote>
  <w:footnote w:id="182">
    <w:p w:rsidR="008D4F0C" w:rsidRPr="00EC0CED" w:rsidRDefault="008D4F0C" w:rsidP="008D4F0C">
      <w:pPr>
        <w:pStyle w:val="FootnoteText"/>
        <w:rPr>
          <w:lang w:val="en-US"/>
        </w:rPr>
      </w:pPr>
      <w:r>
        <w:rPr>
          <w:rStyle w:val="FootnoteReference"/>
        </w:rPr>
        <w:footnoteRef/>
      </w:r>
      <w:r w:rsidRPr="00EC0CED">
        <w:rPr>
          <w:lang w:val="en-US"/>
        </w:rPr>
        <w:t xml:space="preserve"> </w:t>
      </w:r>
      <w:r>
        <w:rPr>
          <w:i/>
          <w:lang w:val="en-US"/>
        </w:rPr>
        <w:t>M</w:t>
      </w:r>
      <w:r w:rsidRPr="00AC02C8">
        <w:rPr>
          <w:i/>
          <w:lang w:val="en-US"/>
        </w:rPr>
        <w:t>.</w:t>
      </w:r>
      <w:r>
        <w:rPr>
          <w:i/>
          <w:lang w:val="en-US"/>
        </w:rPr>
        <w:t>B</w:t>
      </w:r>
      <w:r w:rsidRPr="00AC02C8">
        <w:rPr>
          <w:i/>
          <w:lang w:val="en-US"/>
        </w:rPr>
        <w:t>.</w:t>
      </w:r>
      <w:r>
        <w:rPr>
          <w:i/>
          <w:lang w:val="en-US"/>
        </w:rPr>
        <w:t>A</w:t>
      </w:r>
      <w:r w:rsidRPr="00AC02C8">
        <w:rPr>
          <w:i/>
          <w:lang w:val="en-US"/>
        </w:rPr>
        <w:t xml:space="preserve">. </w:t>
      </w:r>
      <w:r>
        <w:rPr>
          <w:i/>
          <w:lang w:val="en-US"/>
        </w:rPr>
        <w:t>van</w:t>
      </w:r>
      <w:r w:rsidRPr="00AC02C8">
        <w:rPr>
          <w:i/>
          <w:lang w:val="en-US"/>
        </w:rPr>
        <w:t xml:space="preserve"> </w:t>
      </w:r>
      <w:r>
        <w:rPr>
          <w:i/>
          <w:lang w:val="en-US"/>
        </w:rPr>
        <w:t>Asselt</w:t>
      </w:r>
      <w:r w:rsidRPr="00AC02C8">
        <w:rPr>
          <w:i/>
          <w:lang w:val="en-US"/>
        </w:rPr>
        <w:t xml:space="preserve">, </w:t>
      </w:r>
      <w:r>
        <w:rPr>
          <w:i/>
          <w:lang w:val="en-US"/>
        </w:rPr>
        <w:t>O</w:t>
      </w:r>
      <w:r w:rsidRPr="00AC02C8">
        <w:rPr>
          <w:i/>
          <w:lang w:val="en-US"/>
        </w:rPr>
        <w:t xml:space="preserve">. </w:t>
      </w:r>
      <w:r>
        <w:rPr>
          <w:i/>
          <w:lang w:val="en-US"/>
        </w:rPr>
        <w:t>Renn</w:t>
      </w:r>
      <w:r w:rsidRPr="00AC02C8">
        <w:rPr>
          <w:lang w:val="en-US"/>
        </w:rPr>
        <w:t>, “</w:t>
      </w:r>
      <w:r>
        <w:rPr>
          <w:lang w:val="en-US"/>
        </w:rPr>
        <w:t>Risk</w:t>
      </w:r>
      <w:r w:rsidRPr="00AC02C8">
        <w:rPr>
          <w:lang w:val="en-US"/>
        </w:rPr>
        <w:t xml:space="preserve"> </w:t>
      </w:r>
      <w:r>
        <w:rPr>
          <w:lang w:val="en-US"/>
        </w:rPr>
        <w:t>governance</w:t>
      </w:r>
      <w:r w:rsidRPr="00AC02C8">
        <w:rPr>
          <w:lang w:val="en-US"/>
        </w:rPr>
        <w:t xml:space="preserve">”, </w:t>
      </w:r>
      <w:r>
        <w:t>ό</w:t>
      </w:r>
      <w:r w:rsidRPr="00AC02C8">
        <w:rPr>
          <w:lang w:val="en-US"/>
        </w:rPr>
        <w:t>.</w:t>
      </w:r>
      <w:r>
        <w:t>π</w:t>
      </w:r>
      <w:r w:rsidRPr="00AC02C8">
        <w:rPr>
          <w:lang w:val="en-US"/>
        </w:rPr>
        <w:t xml:space="preserve">., </w:t>
      </w:r>
      <w:r>
        <w:t>σ</w:t>
      </w:r>
      <w:r w:rsidRPr="00AC02C8">
        <w:rPr>
          <w:lang w:val="en-US"/>
        </w:rPr>
        <w:t>.</w:t>
      </w:r>
      <w:r w:rsidRPr="00EC0CED">
        <w:rPr>
          <w:lang w:val="en-US"/>
        </w:rPr>
        <w:t xml:space="preserve"> 441.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532F3"/>
    <w:multiLevelType w:val="hybridMultilevel"/>
    <w:tmpl w:val="840C3EC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2B7C76FD"/>
    <w:multiLevelType w:val="hybridMultilevel"/>
    <w:tmpl w:val="365CB7F0"/>
    <w:lvl w:ilvl="0" w:tplc="0408000F">
      <w:start w:val="1"/>
      <w:numFmt w:val="decimal"/>
      <w:lvlText w:val="%1."/>
      <w:lvlJc w:val="left"/>
      <w:pPr>
        <w:tabs>
          <w:tab w:val="num" w:pos="450"/>
        </w:tabs>
        <w:ind w:left="45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
    <w:nsid w:val="4E0C6E97"/>
    <w:multiLevelType w:val="hybridMultilevel"/>
    <w:tmpl w:val="4F90CB42"/>
    <w:lvl w:ilvl="0" w:tplc="BC824B46">
      <w:start w:val="1"/>
      <w:numFmt w:val="decimal"/>
      <w:lvlText w:val="%1"/>
      <w:lvlJc w:val="left"/>
      <w:pPr>
        <w:tabs>
          <w:tab w:val="num" w:pos="645"/>
        </w:tabs>
        <w:ind w:left="645" w:hanging="360"/>
      </w:pPr>
      <w:rPr>
        <w:rFonts w:hint="default"/>
      </w:rPr>
    </w:lvl>
    <w:lvl w:ilvl="1" w:tplc="04080019" w:tentative="1">
      <w:start w:val="1"/>
      <w:numFmt w:val="lowerLetter"/>
      <w:lvlText w:val="%2."/>
      <w:lvlJc w:val="left"/>
      <w:pPr>
        <w:tabs>
          <w:tab w:val="num" w:pos="1365"/>
        </w:tabs>
        <w:ind w:left="1365" w:hanging="360"/>
      </w:pPr>
    </w:lvl>
    <w:lvl w:ilvl="2" w:tplc="0408001B" w:tentative="1">
      <w:start w:val="1"/>
      <w:numFmt w:val="lowerRoman"/>
      <w:lvlText w:val="%3."/>
      <w:lvlJc w:val="right"/>
      <w:pPr>
        <w:tabs>
          <w:tab w:val="num" w:pos="2085"/>
        </w:tabs>
        <w:ind w:left="2085" w:hanging="180"/>
      </w:pPr>
    </w:lvl>
    <w:lvl w:ilvl="3" w:tplc="0408000F" w:tentative="1">
      <w:start w:val="1"/>
      <w:numFmt w:val="decimal"/>
      <w:lvlText w:val="%4."/>
      <w:lvlJc w:val="left"/>
      <w:pPr>
        <w:tabs>
          <w:tab w:val="num" w:pos="2805"/>
        </w:tabs>
        <w:ind w:left="2805" w:hanging="360"/>
      </w:pPr>
    </w:lvl>
    <w:lvl w:ilvl="4" w:tplc="04080019" w:tentative="1">
      <w:start w:val="1"/>
      <w:numFmt w:val="lowerLetter"/>
      <w:lvlText w:val="%5."/>
      <w:lvlJc w:val="left"/>
      <w:pPr>
        <w:tabs>
          <w:tab w:val="num" w:pos="3525"/>
        </w:tabs>
        <w:ind w:left="3525" w:hanging="360"/>
      </w:pPr>
    </w:lvl>
    <w:lvl w:ilvl="5" w:tplc="0408001B" w:tentative="1">
      <w:start w:val="1"/>
      <w:numFmt w:val="lowerRoman"/>
      <w:lvlText w:val="%6."/>
      <w:lvlJc w:val="right"/>
      <w:pPr>
        <w:tabs>
          <w:tab w:val="num" w:pos="4245"/>
        </w:tabs>
        <w:ind w:left="4245" w:hanging="180"/>
      </w:pPr>
    </w:lvl>
    <w:lvl w:ilvl="6" w:tplc="0408000F" w:tentative="1">
      <w:start w:val="1"/>
      <w:numFmt w:val="decimal"/>
      <w:lvlText w:val="%7."/>
      <w:lvlJc w:val="left"/>
      <w:pPr>
        <w:tabs>
          <w:tab w:val="num" w:pos="4965"/>
        </w:tabs>
        <w:ind w:left="4965" w:hanging="360"/>
      </w:pPr>
    </w:lvl>
    <w:lvl w:ilvl="7" w:tplc="04080019" w:tentative="1">
      <w:start w:val="1"/>
      <w:numFmt w:val="lowerLetter"/>
      <w:lvlText w:val="%8."/>
      <w:lvlJc w:val="left"/>
      <w:pPr>
        <w:tabs>
          <w:tab w:val="num" w:pos="5685"/>
        </w:tabs>
        <w:ind w:left="5685" w:hanging="360"/>
      </w:pPr>
    </w:lvl>
    <w:lvl w:ilvl="8" w:tplc="0408001B" w:tentative="1">
      <w:start w:val="1"/>
      <w:numFmt w:val="lowerRoman"/>
      <w:lvlText w:val="%9."/>
      <w:lvlJc w:val="right"/>
      <w:pPr>
        <w:tabs>
          <w:tab w:val="num" w:pos="6405"/>
        </w:tabs>
        <w:ind w:left="6405" w:hanging="180"/>
      </w:pPr>
    </w:lvl>
  </w:abstractNum>
  <w:abstractNum w:abstractNumId="3">
    <w:nsid w:val="53384ABA"/>
    <w:multiLevelType w:val="hybridMultilevel"/>
    <w:tmpl w:val="AC189F20"/>
    <w:lvl w:ilvl="0" w:tplc="0408000F">
      <w:start w:val="1"/>
      <w:numFmt w:val="decimal"/>
      <w:lvlText w:val="%1."/>
      <w:lvlJc w:val="left"/>
      <w:pPr>
        <w:tabs>
          <w:tab w:val="num" w:pos="720"/>
        </w:tabs>
        <w:ind w:left="720" w:hanging="360"/>
      </w:pPr>
    </w:lvl>
    <w:lvl w:ilvl="1" w:tplc="1BC6D2B8">
      <w:start w:val="1"/>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53B0548F"/>
    <w:multiLevelType w:val="hybridMultilevel"/>
    <w:tmpl w:val="6BE0D8A6"/>
    <w:lvl w:ilvl="0" w:tplc="B9F69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7F3B2B"/>
    <w:multiLevelType w:val="hybridMultilevel"/>
    <w:tmpl w:val="3FB6B90E"/>
    <w:lvl w:ilvl="0" w:tplc="CDDC04C4">
      <w:start w:val="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5F03EF1"/>
    <w:multiLevelType w:val="hybridMultilevel"/>
    <w:tmpl w:val="D374816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76572ECC"/>
    <w:multiLevelType w:val="singleLevel"/>
    <w:tmpl w:val="F878D8A0"/>
    <w:lvl w:ilvl="0">
      <w:start w:val="1"/>
      <w:numFmt w:val="decimal"/>
      <w:lvlText w:val="%1."/>
      <w:legacy w:legacy="1" w:legacySpace="0" w:legacyIndent="283"/>
      <w:lvlJc w:val="left"/>
      <w:pPr>
        <w:ind w:left="283" w:hanging="283"/>
      </w:pPr>
      <w:rPr>
        <w:b w:val="0"/>
        <w:i w:val="0"/>
      </w:rPr>
    </w:lvl>
  </w:abstractNum>
  <w:abstractNum w:abstractNumId="8">
    <w:nsid w:val="76FB445A"/>
    <w:multiLevelType w:val="hybridMultilevel"/>
    <w:tmpl w:val="D8ACEB3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79EF279A"/>
    <w:multiLevelType w:val="hybridMultilevel"/>
    <w:tmpl w:val="1478A012"/>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7"/>
  </w:num>
  <w:num w:numId="4">
    <w:abstractNumId w:val="7"/>
    <w:lvlOverride w:ilvl="0">
      <w:lvl w:ilvl="0">
        <w:start w:val="1"/>
        <w:numFmt w:val="decimal"/>
        <w:lvlText w:val="%1."/>
        <w:legacy w:legacy="1" w:legacySpace="0" w:legacyIndent="283"/>
        <w:lvlJc w:val="left"/>
        <w:pPr>
          <w:ind w:left="643" w:hanging="283"/>
        </w:pPr>
        <w:rPr>
          <w:b w:val="0"/>
          <w:i w:val="0"/>
        </w:rPr>
      </w:lvl>
    </w:lvlOverride>
  </w:num>
  <w:num w:numId="5">
    <w:abstractNumId w:val="1"/>
  </w:num>
  <w:num w:numId="6">
    <w:abstractNumId w:val="8"/>
  </w:num>
  <w:num w:numId="7">
    <w:abstractNumId w:val="0"/>
  </w:num>
  <w:num w:numId="8">
    <w:abstractNumId w:val="3"/>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CAF"/>
    <w:rsid w:val="000E3D4A"/>
    <w:rsid w:val="003522D9"/>
    <w:rsid w:val="00405014"/>
    <w:rsid w:val="00742CAF"/>
    <w:rsid w:val="007927CB"/>
    <w:rsid w:val="008D4F0C"/>
    <w:rsid w:val="00AB01CD"/>
    <w:rsid w:val="00C56815"/>
    <w:rsid w:val="00DB4E02"/>
    <w:rsid w:val="00E964C6"/>
    <w:rsid w:val="00FC47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l-GR" w:eastAsia="en-US" w:bidi="th-TH"/>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CAF"/>
    <w:pPr>
      <w:jc w:val="left"/>
    </w:pPr>
    <w:rPr>
      <w:rFonts w:ascii="Times New Roman" w:eastAsia="Times New Roman" w:hAnsi="Times New Roman" w:cs="Times New Roman"/>
      <w:sz w:val="24"/>
      <w:szCs w:val="24"/>
      <w:lang w:eastAsia="el-GR" w:bidi="ar-SA"/>
    </w:rPr>
  </w:style>
  <w:style w:type="paragraph" w:styleId="Heading1">
    <w:name w:val="heading 1"/>
    <w:basedOn w:val="Normal"/>
    <w:next w:val="Normal"/>
    <w:link w:val="Heading1Char"/>
    <w:qFormat/>
    <w:rsid w:val="008D4F0C"/>
    <w:pPr>
      <w:keepNext/>
      <w:autoSpaceDE w:val="0"/>
      <w:autoSpaceDN w:val="0"/>
      <w:adjustRightInd w:val="0"/>
      <w:outlineLvl w:val="0"/>
    </w:pPr>
    <w:rPr>
      <w:b/>
      <w:bCs/>
      <w:color w:val="00000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42CAF"/>
    <w:rPr>
      <w:sz w:val="20"/>
      <w:szCs w:val="20"/>
    </w:rPr>
  </w:style>
  <w:style w:type="character" w:customStyle="1" w:styleId="FootnoteTextChar">
    <w:name w:val="Footnote Text Char"/>
    <w:basedOn w:val="DefaultParagraphFont"/>
    <w:link w:val="FootnoteText"/>
    <w:semiHidden/>
    <w:rsid w:val="00742CAF"/>
    <w:rPr>
      <w:rFonts w:ascii="Times New Roman" w:eastAsia="Times New Roman" w:hAnsi="Times New Roman" w:cs="Times New Roman"/>
      <w:sz w:val="20"/>
      <w:szCs w:val="20"/>
      <w:lang w:eastAsia="el-GR" w:bidi="ar-SA"/>
    </w:rPr>
  </w:style>
  <w:style w:type="character" w:styleId="FootnoteReference">
    <w:name w:val="footnote reference"/>
    <w:basedOn w:val="DefaultParagraphFont"/>
    <w:semiHidden/>
    <w:rsid w:val="00742CAF"/>
    <w:rPr>
      <w:vertAlign w:val="superscript"/>
    </w:rPr>
  </w:style>
  <w:style w:type="character" w:styleId="Hyperlink">
    <w:name w:val="Hyperlink"/>
    <w:basedOn w:val="DefaultParagraphFont"/>
    <w:rsid w:val="00742CAF"/>
    <w:rPr>
      <w:color w:val="0000FF"/>
      <w:u w:val="single"/>
    </w:rPr>
  </w:style>
  <w:style w:type="character" w:customStyle="1" w:styleId="Heading1Char">
    <w:name w:val="Heading 1 Char"/>
    <w:basedOn w:val="DefaultParagraphFont"/>
    <w:link w:val="Heading1"/>
    <w:rsid w:val="008D4F0C"/>
    <w:rPr>
      <w:rFonts w:ascii="Times New Roman" w:eastAsia="Times New Roman" w:hAnsi="Times New Roman" w:cs="Times New Roman"/>
      <w:b/>
      <w:bCs/>
      <w:color w:val="000000"/>
      <w:sz w:val="24"/>
      <w:szCs w:val="16"/>
      <w:lang w:eastAsia="el-GR" w:bidi="ar-SA"/>
    </w:rPr>
  </w:style>
  <w:style w:type="paragraph" w:styleId="BodyText2">
    <w:name w:val="Body Text 2"/>
    <w:basedOn w:val="Normal"/>
    <w:link w:val="BodyText2Char"/>
    <w:rsid w:val="008D4F0C"/>
    <w:pPr>
      <w:overflowPunct w:val="0"/>
      <w:autoSpaceDE w:val="0"/>
      <w:autoSpaceDN w:val="0"/>
      <w:adjustRightInd w:val="0"/>
      <w:spacing w:line="360" w:lineRule="auto"/>
      <w:ind w:left="360"/>
      <w:textAlignment w:val="baseline"/>
    </w:pPr>
    <w:rPr>
      <w:rFonts w:ascii="Arial" w:hAnsi="Arial"/>
      <w:szCs w:val="20"/>
    </w:rPr>
  </w:style>
  <w:style w:type="character" w:customStyle="1" w:styleId="BodyText2Char">
    <w:name w:val="Body Text 2 Char"/>
    <w:basedOn w:val="DefaultParagraphFont"/>
    <w:link w:val="BodyText2"/>
    <w:rsid w:val="008D4F0C"/>
    <w:rPr>
      <w:rFonts w:ascii="Arial" w:eastAsia="Times New Roman" w:hAnsi="Arial" w:cs="Times New Roman"/>
      <w:sz w:val="24"/>
      <w:szCs w:val="20"/>
      <w:lang w:eastAsia="el-GR" w:bidi="ar-SA"/>
    </w:rPr>
  </w:style>
  <w:style w:type="paragraph" w:styleId="Footer">
    <w:name w:val="footer"/>
    <w:basedOn w:val="Normal"/>
    <w:link w:val="FooterChar"/>
    <w:uiPriority w:val="99"/>
    <w:rsid w:val="008D4F0C"/>
    <w:pPr>
      <w:tabs>
        <w:tab w:val="center" w:pos="4153"/>
        <w:tab w:val="right" w:pos="8306"/>
      </w:tabs>
    </w:pPr>
  </w:style>
  <w:style w:type="character" w:customStyle="1" w:styleId="FooterChar">
    <w:name w:val="Footer Char"/>
    <w:basedOn w:val="DefaultParagraphFont"/>
    <w:link w:val="Footer"/>
    <w:uiPriority w:val="99"/>
    <w:rsid w:val="008D4F0C"/>
    <w:rPr>
      <w:rFonts w:ascii="Times New Roman" w:eastAsia="Times New Roman" w:hAnsi="Times New Roman" w:cs="Times New Roman"/>
      <w:sz w:val="24"/>
      <w:szCs w:val="24"/>
      <w:lang w:eastAsia="el-GR" w:bidi="ar-SA"/>
    </w:rPr>
  </w:style>
  <w:style w:type="character" w:styleId="PageNumber">
    <w:name w:val="page number"/>
    <w:basedOn w:val="DefaultParagraphFont"/>
    <w:rsid w:val="008D4F0C"/>
  </w:style>
  <w:style w:type="paragraph" w:styleId="BalloonText">
    <w:name w:val="Balloon Text"/>
    <w:basedOn w:val="Normal"/>
    <w:link w:val="BalloonTextChar"/>
    <w:semiHidden/>
    <w:rsid w:val="008D4F0C"/>
    <w:rPr>
      <w:rFonts w:ascii="Tahoma" w:hAnsi="Tahoma"/>
      <w:sz w:val="16"/>
      <w:szCs w:val="16"/>
    </w:rPr>
  </w:style>
  <w:style w:type="character" w:customStyle="1" w:styleId="BalloonTextChar">
    <w:name w:val="Balloon Text Char"/>
    <w:basedOn w:val="DefaultParagraphFont"/>
    <w:link w:val="BalloonText"/>
    <w:semiHidden/>
    <w:rsid w:val="008D4F0C"/>
    <w:rPr>
      <w:rFonts w:ascii="Tahoma" w:eastAsia="Times New Roman" w:hAnsi="Tahoma" w:cs="Times New Roman"/>
      <w:sz w:val="16"/>
      <w:szCs w:val="16"/>
      <w:lang w:eastAsia="el-GR" w:bidi="ar-SA"/>
    </w:rPr>
  </w:style>
  <w:style w:type="paragraph" w:customStyle="1" w:styleId="NormalPar">
    <w:name w:val="NormalPar"/>
    <w:rsid w:val="008D4F0C"/>
    <w:pPr>
      <w:tabs>
        <w:tab w:val="left" w:pos="709"/>
        <w:tab w:val="left" w:pos="1418"/>
        <w:tab w:val="left" w:pos="2127"/>
        <w:tab w:val="left" w:pos="2836"/>
        <w:tab w:val="left" w:pos="3545"/>
        <w:tab w:val="left" w:pos="4254"/>
      </w:tabs>
      <w:overflowPunct w:val="0"/>
      <w:autoSpaceDE w:val="0"/>
      <w:autoSpaceDN w:val="0"/>
      <w:adjustRightInd w:val="0"/>
      <w:ind w:left="-1233" w:right="-1233"/>
      <w:jc w:val="left"/>
      <w:textAlignment w:val="baseline"/>
    </w:pPr>
    <w:rPr>
      <w:rFonts w:ascii="TimelT" w:eastAsia="Times New Roman" w:hAnsi="TimelT" w:cs="Times New Roman"/>
      <w:sz w:val="24"/>
      <w:szCs w:val="20"/>
      <w:lang w:val="en-US" w:bidi="ar-SA"/>
    </w:rPr>
  </w:style>
  <w:style w:type="character" w:customStyle="1" w:styleId="mediumtext1">
    <w:name w:val="medium_text1"/>
    <w:basedOn w:val="DefaultParagraphFont"/>
    <w:rsid w:val="008D4F0C"/>
    <w:rPr>
      <w:sz w:val="24"/>
      <w:szCs w:val="24"/>
    </w:rPr>
  </w:style>
  <w:style w:type="character" w:customStyle="1" w:styleId="longtext1">
    <w:name w:val="long_text1"/>
    <w:basedOn w:val="DefaultParagraphFont"/>
    <w:rsid w:val="008D4F0C"/>
    <w:rPr>
      <w:sz w:val="20"/>
      <w:szCs w:val="20"/>
    </w:rPr>
  </w:style>
  <w:style w:type="paragraph" w:styleId="HTMLPreformatted">
    <w:name w:val="HTML Preformatted"/>
    <w:basedOn w:val="Normal"/>
    <w:link w:val="HTMLPreformattedChar"/>
    <w:rsid w:val="008D4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D4F0C"/>
    <w:rPr>
      <w:rFonts w:ascii="Courier New" w:eastAsia="Times New Roman" w:hAnsi="Courier New" w:cs="Courier New"/>
      <w:sz w:val="20"/>
      <w:szCs w:val="20"/>
      <w:lang w:eastAsia="el-GR" w:bidi="ar-SA"/>
    </w:rPr>
  </w:style>
  <w:style w:type="paragraph" w:styleId="TOCHeading">
    <w:name w:val="TOC Heading"/>
    <w:basedOn w:val="Heading1"/>
    <w:next w:val="Normal"/>
    <w:uiPriority w:val="39"/>
    <w:semiHidden/>
    <w:unhideWhenUsed/>
    <w:qFormat/>
    <w:rsid w:val="008D4F0C"/>
    <w:pPr>
      <w:keepLines/>
      <w:autoSpaceDE/>
      <w:autoSpaceDN/>
      <w:adjustRightInd/>
      <w:spacing w:before="480" w:line="276" w:lineRule="auto"/>
      <w:outlineLvl w:val="9"/>
    </w:pPr>
    <w:rPr>
      <w:rFonts w:ascii="Cambria" w:hAnsi="Cambria"/>
      <w:color w:val="365F91"/>
      <w:sz w:val="28"/>
      <w:szCs w:val="28"/>
      <w:lang w:val="en-US" w:eastAsia="en-US"/>
    </w:rPr>
  </w:style>
  <w:style w:type="paragraph" w:styleId="Header">
    <w:name w:val="header"/>
    <w:basedOn w:val="Normal"/>
    <w:link w:val="HeaderChar"/>
    <w:uiPriority w:val="99"/>
    <w:semiHidden/>
    <w:unhideWhenUsed/>
    <w:rsid w:val="008D4F0C"/>
    <w:pPr>
      <w:tabs>
        <w:tab w:val="center" w:pos="4153"/>
        <w:tab w:val="right" w:pos="8306"/>
      </w:tabs>
    </w:pPr>
  </w:style>
  <w:style w:type="character" w:customStyle="1" w:styleId="HeaderChar">
    <w:name w:val="Header Char"/>
    <w:basedOn w:val="DefaultParagraphFont"/>
    <w:link w:val="Header"/>
    <w:uiPriority w:val="99"/>
    <w:semiHidden/>
    <w:rsid w:val="008D4F0C"/>
    <w:rPr>
      <w:rFonts w:ascii="Times New Roman" w:eastAsia="Times New Roman" w:hAnsi="Times New Roman" w:cs="Times New Roman"/>
      <w:sz w:val="24"/>
      <w:szCs w:val="24"/>
      <w:lang w:eastAsia="el-GR" w:bidi="ar-SA"/>
    </w:rPr>
  </w:style>
  <w:style w:type="character" w:styleId="FollowedHyperlink">
    <w:name w:val="FollowedHyperlink"/>
    <w:basedOn w:val="DefaultParagraphFont"/>
    <w:uiPriority w:val="99"/>
    <w:semiHidden/>
    <w:unhideWhenUsed/>
    <w:rsid w:val="008D4F0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l-GR" w:eastAsia="en-US" w:bidi="th-TH"/>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CAF"/>
    <w:pPr>
      <w:jc w:val="left"/>
    </w:pPr>
    <w:rPr>
      <w:rFonts w:ascii="Times New Roman" w:eastAsia="Times New Roman" w:hAnsi="Times New Roman" w:cs="Times New Roman"/>
      <w:sz w:val="24"/>
      <w:szCs w:val="24"/>
      <w:lang w:eastAsia="el-GR" w:bidi="ar-SA"/>
    </w:rPr>
  </w:style>
  <w:style w:type="paragraph" w:styleId="Heading1">
    <w:name w:val="heading 1"/>
    <w:basedOn w:val="Normal"/>
    <w:next w:val="Normal"/>
    <w:link w:val="Heading1Char"/>
    <w:qFormat/>
    <w:rsid w:val="008D4F0C"/>
    <w:pPr>
      <w:keepNext/>
      <w:autoSpaceDE w:val="0"/>
      <w:autoSpaceDN w:val="0"/>
      <w:adjustRightInd w:val="0"/>
      <w:outlineLvl w:val="0"/>
    </w:pPr>
    <w:rPr>
      <w:b/>
      <w:bCs/>
      <w:color w:val="00000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42CAF"/>
    <w:rPr>
      <w:sz w:val="20"/>
      <w:szCs w:val="20"/>
    </w:rPr>
  </w:style>
  <w:style w:type="character" w:customStyle="1" w:styleId="FootnoteTextChar">
    <w:name w:val="Footnote Text Char"/>
    <w:basedOn w:val="DefaultParagraphFont"/>
    <w:link w:val="FootnoteText"/>
    <w:semiHidden/>
    <w:rsid w:val="00742CAF"/>
    <w:rPr>
      <w:rFonts w:ascii="Times New Roman" w:eastAsia="Times New Roman" w:hAnsi="Times New Roman" w:cs="Times New Roman"/>
      <w:sz w:val="20"/>
      <w:szCs w:val="20"/>
      <w:lang w:eastAsia="el-GR" w:bidi="ar-SA"/>
    </w:rPr>
  </w:style>
  <w:style w:type="character" w:styleId="FootnoteReference">
    <w:name w:val="footnote reference"/>
    <w:basedOn w:val="DefaultParagraphFont"/>
    <w:semiHidden/>
    <w:rsid w:val="00742CAF"/>
    <w:rPr>
      <w:vertAlign w:val="superscript"/>
    </w:rPr>
  </w:style>
  <w:style w:type="character" w:styleId="Hyperlink">
    <w:name w:val="Hyperlink"/>
    <w:basedOn w:val="DefaultParagraphFont"/>
    <w:rsid w:val="00742CAF"/>
    <w:rPr>
      <w:color w:val="0000FF"/>
      <w:u w:val="single"/>
    </w:rPr>
  </w:style>
  <w:style w:type="character" w:customStyle="1" w:styleId="Heading1Char">
    <w:name w:val="Heading 1 Char"/>
    <w:basedOn w:val="DefaultParagraphFont"/>
    <w:link w:val="Heading1"/>
    <w:rsid w:val="008D4F0C"/>
    <w:rPr>
      <w:rFonts w:ascii="Times New Roman" w:eastAsia="Times New Roman" w:hAnsi="Times New Roman" w:cs="Times New Roman"/>
      <w:b/>
      <w:bCs/>
      <w:color w:val="000000"/>
      <w:sz w:val="24"/>
      <w:szCs w:val="16"/>
      <w:lang w:eastAsia="el-GR" w:bidi="ar-SA"/>
    </w:rPr>
  </w:style>
  <w:style w:type="paragraph" w:styleId="BodyText2">
    <w:name w:val="Body Text 2"/>
    <w:basedOn w:val="Normal"/>
    <w:link w:val="BodyText2Char"/>
    <w:rsid w:val="008D4F0C"/>
    <w:pPr>
      <w:overflowPunct w:val="0"/>
      <w:autoSpaceDE w:val="0"/>
      <w:autoSpaceDN w:val="0"/>
      <w:adjustRightInd w:val="0"/>
      <w:spacing w:line="360" w:lineRule="auto"/>
      <w:ind w:left="360"/>
      <w:textAlignment w:val="baseline"/>
    </w:pPr>
    <w:rPr>
      <w:rFonts w:ascii="Arial" w:hAnsi="Arial"/>
      <w:szCs w:val="20"/>
    </w:rPr>
  </w:style>
  <w:style w:type="character" w:customStyle="1" w:styleId="BodyText2Char">
    <w:name w:val="Body Text 2 Char"/>
    <w:basedOn w:val="DefaultParagraphFont"/>
    <w:link w:val="BodyText2"/>
    <w:rsid w:val="008D4F0C"/>
    <w:rPr>
      <w:rFonts w:ascii="Arial" w:eastAsia="Times New Roman" w:hAnsi="Arial" w:cs="Times New Roman"/>
      <w:sz w:val="24"/>
      <w:szCs w:val="20"/>
      <w:lang w:eastAsia="el-GR" w:bidi="ar-SA"/>
    </w:rPr>
  </w:style>
  <w:style w:type="paragraph" w:styleId="Footer">
    <w:name w:val="footer"/>
    <w:basedOn w:val="Normal"/>
    <w:link w:val="FooterChar"/>
    <w:uiPriority w:val="99"/>
    <w:rsid w:val="008D4F0C"/>
    <w:pPr>
      <w:tabs>
        <w:tab w:val="center" w:pos="4153"/>
        <w:tab w:val="right" w:pos="8306"/>
      </w:tabs>
    </w:pPr>
  </w:style>
  <w:style w:type="character" w:customStyle="1" w:styleId="FooterChar">
    <w:name w:val="Footer Char"/>
    <w:basedOn w:val="DefaultParagraphFont"/>
    <w:link w:val="Footer"/>
    <w:uiPriority w:val="99"/>
    <w:rsid w:val="008D4F0C"/>
    <w:rPr>
      <w:rFonts w:ascii="Times New Roman" w:eastAsia="Times New Roman" w:hAnsi="Times New Roman" w:cs="Times New Roman"/>
      <w:sz w:val="24"/>
      <w:szCs w:val="24"/>
      <w:lang w:eastAsia="el-GR" w:bidi="ar-SA"/>
    </w:rPr>
  </w:style>
  <w:style w:type="character" w:styleId="PageNumber">
    <w:name w:val="page number"/>
    <w:basedOn w:val="DefaultParagraphFont"/>
    <w:rsid w:val="008D4F0C"/>
  </w:style>
  <w:style w:type="paragraph" w:styleId="BalloonText">
    <w:name w:val="Balloon Text"/>
    <w:basedOn w:val="Normal"/>
    <w:link w:val="BalloonTextChar"/>
    <w:semiHidden/>
    <w:rsid w:val="008D4F0C"/>
    <w:rPr>
      <w:rFonts w:ascii="Tahoma" w:hAnsi="Tahoma"/>
      <w:sz w:val="16"/>
      <w:szCs w:val="16"/>
    </w:rPr>
  </w:style>
  <w:style w:type="character" w:customStyle="1" w:styleId="BalloonTextChar">
    <w:name w:val="Balloon Text Char"/>
    <w:basedOn w:val="DefaultParagraphFont"/>
    <w:link w:val="BalloonText"/>
    <w:semiHidden/>
    <w:rsid w:val="008D4F0C"/>
    <w:rPr>
      <w:rFonts w:ascii="Tahoma" w:eastAsia="Times New Roman" w:hAnsi="Tahoma" w:cs="Times New Roman"/>
      <w:sz w:val="16"/>
      <w:szCs w:val="16"/>
      <w:lang w:eastAsia="el-GR" w:bidi="ar-SA"/>
    </w:rPr>
  </w:style>
  <w:style w:type="paragraph" w:customStyle="1" w:styleId="NormalPar">
    <w:name w:val="NormalPar"/>
    <w:rsid w:val="008D4F0C"/>
    <w:pPr>
      <w:tabs>
        <w:tab w:val="left" w:pos="709"/>
        <w:tab w:val="left" w:pos="1418"/>
        <w:tab w:val="left" w:pos="2127"/>
        <w:tab w:val="left" w:pos="2836"/>
        <w:tab w:val="left" w:pos="3545"/>
        <w:tab w:val="left" w:pos="4254"/>
      </w:tabs>
      <w:overflowPunct w:val="0"/>
      <w:autoSpaceDE w:val="0"/>
      <w:autoSpaceDN w:val="0"/>
      <w:adjustRightInd w:val="0"/>
      <w:ind w:left="-1233" w:right="-1233"/>
      <w:jc w:val="left"/>
      <w:textAlignment w:val="baseline"/>
    </w:pPr>
    <w:rPr>
      <w:rFonts w:ascii="TimelT" w:eastAsia="Times New Roman" w:hAnsi="TimelT" w:cs="Times New Roman"/>
      <w:sz w:val="24"/>
      <w:szCs w:val="20"/>
      <w:lang w:val="en-US" w:bidi="ar-SA"/>
    </w:rPr>
  </w:style>
  <w:style w:type="character" w:customStyle="1" w:styleId="mediumtext1">
    <w:name w:val="medium_text1"/>
    <w:basedOn w:val="DefaultParagraphFont"/>
    <w:rsid w:val="008D4F0C"/>
    <w:rPr>
      <w:sz w:val="24"/>
      <w:szCs w:val="24"/>
    </w:rPr>
  </w:style>
  <w:style w:type="character" w:customStyle="1" w:styleId="longtext1">
    <w:name w:val="long_text1"/>
    <w:basedOn w:val="DefaultParagraphFont"/>
    <w:rsid w:val="008D4F0C"/>
    <w:rPr>
      <w:sz w:val="20"/>
      <w:szCs w:val="20"/>
    </w:rPr>
  </w:style>
  <w:style w:type="paragraph" w:styleId="HTMLPreformatted">
    <w:name w:val="HTML Preformatted"/>
    <w:basedOn w:val="Normal"/>
    <w:link w:val="HTMLPreformattedChar"/>
    <w:rsid w:val="008D4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D4F0C"/>
    <w:rPr>
      <w:rFonts w:ascii="Courier New" w:eastAsia="Times New Roman" w:hAnsi="Courier New" w:cs="Courier New"/>
      <w:sz w:val="20"/>
      <w:szCs w:val="20"/>
      <w:lang w:eastAsia="el-GR" w:bidi="ar-SA"/>
    </w:rPr>
  </w:style>
  <w:style w:type="paragraph" w:styleId="TOCHeading">
    <w:name w:val="TOC Heading"/>
    <w:basedOn w:val="Heading1"/>
    <w:next w:val="Normal"/>
    <w:uiPriority w:val="39"/>
    <w:semiHidden/>
    <w:unhideWhenUsed/>
    <w:qFormat/>
    <w:rsid w:val="008D4F0C"/>
    <w:pPr>
      <w:keepLines/>
      <w:autoSpaceDE/>
      <w:autoSpaceDN/>
      <w:adjustRightInd/>
      <w:spacing w:before="480" w:line="276" w:lineRule="auto"/>
      <w:outlineLvl w:val="9"/>
    </w:pPr>
    <w:rPr>
      <w:rFonts w:ascii="Cambria" w:hAnsi="Cambria"/>
      <w:color w:val="365F91"/>
      <w:sz w:val="28"/>
      <w:szCs w:val="28"/>
      <w:lang w:val="en-US" w:eastAsia="en-US"/>
    </w:rPr>
  </w:style>
  <w:style w:type="paragraph" w:styleId="Header">
    <w:name w:val="header"/>
    <w:basedOn w:val="Normal"/>
    <w:link w:val="HeaderChar"/>
    <w:uiPriority w:val="99"/>
    <w:semiHidden/>
    <w:unhideWhenUsed/>
    <w:rsid w:val="008D4F0C"/>
    <w:pPr>
      <w:tabs>
        <w:tab w:val="center" w:pos="4153"/>
        <w:tab w:val="right" w:pos="8306"/>
      </w:tabs>
    </w:pPr>
  </w:style>
  <w:style w:type="character" w:customStyle="1" w:styleId="HeaderChar">
    <w:name w:val="Header Char"/>
    <w:basedOn w:val="DefaultParagraphFont"/>
    <w:link w:val="Header"/>
    <w:uiPriority w:val="99"/>
    <w:semiHidden/>
    <w:rsid w:val="008D4F0C"/>
    <w:rPr>
      <w:rFonts w:ascii="Times New Roman" w:eastAsia="Times New Roman" w:hAnsi="Times New Roman" w:cs="Times New Roman"/>
      <w:sz w:val="24"/>
      <w:szCs w:val="24"/>
      <w:lang w:eastAsia="el-GR" w:bidi="ar-SA"/>
    </w:rPr>
  </w:style>
  <w:style w:type="character" w:styleId="FollowedHyperlink">
    <w:name w:val="FollowedHyperlink"/>
    <w:basedOn w:val="DefaultParagraphFont"/>
    <w:uiPriority w:val="99"/>
    <w:semiHidden/>
    <w:unhideWhenUsed/>
    <w:rsid w:val="008D4F0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monsanto.com/monsanto/layout/our_pledge/monsanto_pledge.asp" TargetMode="External"/><Relationship Id="rId13" Type="http://schemas.openxmlformats.org/officeDocument/2006/relationships/hyperlink" Target="http://webdomino1.oecd.org/ehs/ipcs.nsf" TargetMode="External"/><Relationship Id="rId3" Type="http://schemas.openxmlformats.org/officeDocument/2006/relationships/hyperlink" Target="http://www.europeanvoice.com/article/2008/09/drop-in-genetically-modifiedcrops-grown-in-eu/62491.aspx" TargetMode="External"/><Relationship Id="rId7" Type="http://schemas.openxmlformats.org/officeDocument/2006/relationships/hyperlink" Target="http://www.ucsusa.org" TargetMode="External"/><Relationship Id="rId12" Type="http://schemas.openxmlformats.org/officeDocument/2006/relationships/hyperlink" Target="ftp://ftp.fao.org/docrep/fao/006j0776e/j0776e00.pdf" TargetMode="External"/><Relationship Id="rId17" Type="http://schemas.openxmlformats.org/officeDocument/2006/relationships/hyperlink" Target="http://www.who.int/" TargetMode="External"/><Relationship Id="rId2" Type="http://schemas.openxmlformats.org/officeDocument/2006/relationships/hyperlink" Target="http://www.isaaa.org/resources/publications/briefs/39/executivesummary/default.html" TargetMode="External"/><Relationship Id="rId16" Type="http://schemas.openxmlformats.org/officeDocument/2006/relationships/hyperlink" Target="http://www.ilsi.org/FoodBioTech/Pages/NutritionalandSafetyAssessments.aspx" TargetMode="External"/><Relationship Id="rId1" Type="http://schemas.openxmlformats.org/officeDocument/2006/relationships/hyperlink" Target="http://www.who.int/foodsafety/publications/biotech/biothech_en.pdf" TargetMode="External"/><Relationship Id="rId6" Type="http://schemas.openxmlformats.org/officeDocument/2006/relationships/hyperlink" Target="http://www.pubs.royalsoc.ac.uk" TargetMode="External"/><Relationship Id="rId11" Type="http://schemas.openxmlformats.org/officeDocument/2006/relationships/hyperlink" Target="http://www.epa.gov/ncea/pdfs/riskcom/riskcom2.pdf" TargetMode="External"/><Relationship Id="rId5" Type="http://schemas.openxmlformats.org/officeDocument/2006/relationships/hyperlink" Target="http://www.nepadst.org" TargetMode="External"/><Relationship Id="rId15" Type="http://schemas.openxmlformats.org/officeDocument/2006/relationships/hyperlink" Target="http://www.ensser.org" TargetMode="External"/><Relationship Id="rId10" Type="http://schemas.openxmlformats.org/officeDocument/2006/relationships/hyperlink" Target="http://www.oranic-center.org" TargetMode="External"/><Relationship Id="rId4" Type="http://schemas.openxmlformats.org/officeDocument/2006/relationships/hyperlink" Target="http://www.ific.org/research/upload/Executive-Summary-Biotech-Report_Website-version.pdf" TargetMode="External"/><Relationship Id="rId9" Type="http://schemas.openxmlformats.org/officeDocument/2006/relationships/hyperlink" Target="http://www.istpp.org/genetic_engineering.html" TargetMode="External"/><Relationship Id="rId14" Type="http://schemas.openxmlformats.org/officeDocument/2006/relationships/hyperlink" Target="http://www.efsa.europa.eu/efsajourn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8788</Words>
  <Characters>50093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LiteOS</Company>
  <LinksUpToDate>false</LinksUpToDate>
  <CharactersWithSpaces>58764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MoZarD</dc:creator>
  <cp:lastModifiedBy>Giwrgos Balias</cp:lastModifiedBy>
  <cp:revision>2</cp:revision>
  <dcterms:created xsi:type="dcterms:W3CDTF">2013-03-02T20:03:00Z</dcterms:created>
  <dcterms:modified xsi:type="dcterms:W3CDTF">2013-03-02T20:03:00Z</dcterms:modified>
</cp:coreProperties>
</file>