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742" w:rsidRPr="00892E1A" w:rsidRDefault="00D67742" w:rsidP="00D67742">
      <w:pPr>
        <w:pStyle w:val="BodyText2"/>
        <w:ind w:left="0"/>
        <w:jc w:val="both"/>
        <w:rPr>
          <w:rFonts w:ascii="Tahoma" w:hAnsi="Tahoma" w:cs="Tahoma"/>
          <w:b/>
          <w:szCs w:val="24"/>
        </w:rPr>
      </w:pPr>
      <w:r w:rsidRPr="00096B17">
        <w:rPr>
          <w:rFonts w:ascii="Tahoma" w:hAnsi="Tahoma" w:cs="Tahoma"/>
          <w:b/>
          <w:szCs w:val="24"/>
        </w:rPr>
        <w:t>2.4. Η Προφύλαξη</w:t>
      </w:r>
      <w:r w:rsidR="00892E1A">
        <w:rPr>
          <w:rFonts w:ascii="Tahoma" w:hAnsi="Tahoma" w:cs="Tahoma"/>
          <w:b/>
          <w:szCs w:val="24"/>
          <w:lang w:val="en-US"/>
        </w:rPr>
        <w:t>*</w:t>
      </w:r>
    </w:p>
    <w:p w:rsidR="00D67742" w:rsidRPr="00A14184" w:rsidRDefault="00D67742" w:rsidP="00D67742">
      <w:pPr>
        <w:pStyle w:val="BodyText2"/>
        <w:ind w:left="0"/>
        <w:jc w:val="both"/>
        <w:rPr>
          <w:rFonts w:ascii="Tahoma" w:hAnsi="Tahoma" w:cs="Tahoma"/>
          <w:sz w:val="22"/>
          <w:szCs w:val="22"/>
        </w:rPr>
      </w:pPr>
    </w:p>
    <w:p w:rsidR="00D67742" w:rsidRPr="00EC36FF" w:rsidRDefault="00D67742" w:rsidP="00D67742">
      <w:pPr>
        <w:pStyle w:val="BodyText2"/>
        <w:ind w:left="0"/>
        <w:jc w:val="both"/>
        <w:rPr>
          <w:rFonts w:ascii="Tahoma" w:hAnsi="Tahoma" w:cs="Tahoma"/>
          <w:b/>
          <w:sz w:val="22"/>
          <w:szCs w:val="22"/>
        </w:rPr>
      </w:pPr>
      <w:r w:rsidRPr="00EC36FF">
        <w:rPr>
          <w:rFonts w:ascii="Tahoma" w:hAnsi="Tahoma" w:cs="Tahoma"/>
          <w:b/>
          <w:sz w:val="22"/>
          <w:szCs w:val="22"/>
        </w:rPr>
        <w:t>2.4.1. Γενικά χαρακτηριστικά</w:t>
      </w:r>
    </w:p>
    <w:p w:rsidR="00D67742" w:rsidRPr="00A14184" w:rsidRDefault="00D67742" w:rsidP="00D67742">
      <w:pPr>
        <w:pStyle w:val="BodyText2"/>
        <w:ind w:left="0"/>
        <w:jc w:val="both"/>
        <w:rPr>
          <w:rFonts w:ascii="Tahoma" w:hAnsi="Tahoma" w:cs="Tahoma"/>
          <w:sz w:val="22"/>
          <w:szCs w:val="22"/>
        </w:rPr>
      </w:pPr>
    </w:p>
    <w:p w:rsidR="00D67742" w:rsidRPr="00A14184" w:rsidRDefault="00D67742" w:rsidP="00D67742">
      <w:pPr>
        <w:pStyle w:val="BodyText2"/>
        <w:ind w:left="0"/>
        <w:jc w:val="both"/>
        <w:rPr>
          <w:rFonts w:ascii="Tahoma" w:hAnsi="Tahoma" w:cs="Tahoma"/>
          <w:sz w:val="22"/>
          <w:szCs w:val="22"/>
        </w:rPr>
      </w:pPr>
      <w:r w:rsidRPr="00A14184">
        <w:rPr>
          <w:rFonts w:ascii="Tahoma" w:hAnsi="Tahoma" w:cs="Tahoma"/>
          <w:sz w:val="22"/>
          <w:szCs w:val="22"/>
        </w:rPr>
        <w:t xml:space="preserve">           Η πολυπλοκότητα και η επιστημονική αβεβαιότητα, όπως τις αναλύσαμε προηγουμένως, δηλαδή ως βασικά εσωτερικά στοιχεία του δικαίου του περιβάλλοντος, οδηγούν σε μια διαφορετική, σε σχέση με το παρελθόν, αντίληψη για την αντιμετώπιση των περιβαλλοντικών κινδύνων. Πρόκειται για την προφυλακτική αντίληψη, η οποία αποκτά κανονιστική ισχύ μέσω της αρχής της προφύλαξης. Η εν λόγω αρχή αποτυπώνει το κατεξοχήν χαρακτηριστικό στοιχείο του σύγχρονου δικαίου του περιβάλλοντος, ότι δηλαδή είναι δίκαιο ‘‘ανοιχτού πλαισίου’’, καθώς βρίσκεται σε διαρκή επαφή με εξω-νομικά συστήματα, όπως η ηθική, η οικονομία ή η επιστήμη</w:t>
      </w:r>
      <w:r w:rsidRPr="00A14184">
        <w:rPr>
          <w:rStyle w:val="FootnoteReference"/>
          <w:rFonts w:ascii="Tahoma" w:hAnsi="Tahoma" w:cs="Tahoma"/>
          <w:sz w:val="22"/>
          <w:szCs w:val="22"/>
        </w:rPr>
        <w:footnoteReference w:id="1"/>
      </w:r>
      <w:r w:rsidRPr="00A14184">
        <w:rPr>
          <w:rFonts w:ascii="Tahoma" w:hAnsi="Tahoma" w:cs="Tahoma"/>
          <w:sz w:val="22"/>
          <w:szCs w:val="22"/>
        </w:rPr>
        <w:t>. Επί πλέον, επειδή βασική προϋπόθεση για την εφαρμογή της είναι η ύπαρξη επιστημονικής αβεβαιότητας αναφορικά με τους κινδύνους βλάβης του περιβάλλοντος και της ανθρώπινης υγείας, αυτό το γεγονός την καθιστά την κατεξοχήν έκφραση της μετανεωτερικής φάσης του δικαίου</w:t>
      </w:r>
      <w:r w:rsidRPr="00A14184">
        <w:rPr>
          <w:rStyle w:val="FootnoteReference"/>
          <w:rFonts w:ascii="Tahoma" w:hAnsi="Tahoma" w:cs="Tahoma"/>
          <w:sz w:val="22"/>
          <w:szCs w:val="22"/>
        </w:rPr>
        <w:footnoteReference w:id="2"/>
      </w:r>
      <w:r w:rsidRPr="00A14184">
        <w:rPr>
          <w:rFonts w:ascii="Tahoma" w:hAnsi="Tahoma" w:cs="Tahoma"/>
          <w:sz w:val="22"/>
          <w:szCs w:val="22"/>
        </w:rPr>
        <w:t xml:space="preserve"> και το αντιπροσωπευτικό παράδειγμα του τρόπου με τον οποίο διαμορφώνονται οι κανόνες δικαίου στις σύγχρονες κοινωνίες</w:t>
      </w:r>
      <w:r w:rsidRPr="00A14184">
        <w:rPr>
          <w:rStyle w:val="FootnoteReference"/>
          <w:rFonts w:ascii="Tahoma" w:hAnsi="Tahoma" w:cs="Tahoma"/>
          <w:sz w:val="22"/>
          <w:szCs w:val="22"/>
        </w:rPr>
        <w:footnoteReference w:id="3"/>
      </w:r>
      <w:r w:rsidRPr="00A14184">
        <w:rPr>
          <w:rFonts w:ascii="Tahoma" w:hAnsi="Tahoma" w:cs="Tahoma"/>
          <w:sz w:val="22"/>
          <w:szCs w:val="22"/>
        </w:rPr>
        <w:t>. Ειδικότερα, στο παράδειγμα της θετικιστικής επιστήμης</w:t>
      </w:r>
      <w:r w:rsidRPr="00A14184">
        <w:rPr>
          <w:rStyle w:val="FootnoteReference"/>
          <w:rFonts w:ascii="Tahoma" w:hAnsi="Tahoma" w:cs="Tahoma"/>
          <w:sz w:val="22"/>
          <w:szCs w:val="22"/>
        </w:rPr>
        <w:footnoteReference w:id="4"/>
      </w:r>
      <w:r w:rsidRPr="00A14184">
        <w:rPr>
          <w:rFonts w:ascii="Tahoma" w:hAnsi="Tahoma" w:cs="Tahoma"/>
          <w:sz w:val="22"/>
          <w:szCs w:val="22"/>
        </w:rPr>
        <w:t xml:space="preserve"> η αντικειμενικότητα και η αναμφίβολη εγκυρότητα της επιστημονικής γνώσης, επέβαλαν περιορισμούς στη διακριτική ευχέρεια των αρμόδιων αρχών σχετικά με τη διαχείριση των κινδύνων, διότι η </w:t>
      </w:r>
      <w:r>
        <w:rPr>
          <w:rFonts w:ascii="Tahoma" w:hAnsi="Tahoma" w:cs="Tahoma"/>
          <w:sz w:val="22"/>
          <w:szCs w:val="22"/>
        </w:rPr>
        <w:t>‘</w:t>
      </w:r>
      <w:r w:rsidRPr="00A14184">
        <w:rPr>
          <w:rFonts w:ascii="Tahoma" w:hAnsi="Tahoma" w:cs="Tahoma"/>
          <w:sz w:val="22"/>
          <w:szCs w:val="22"/>
        </w:rPr>
        <w:t>‘ορθή</w:t>
      </w:r>
      <w:r>
        <w:rPr>
          <w:rFonts w:ascii="Tahoma" w:hAnsi="Tahoma" w:cs="Tahoma"/>
          <w:sz w:val="22"/>
          <w:szCs w:val="22"/>
        </w:rPr>
        <w:t>’</w:t>
      </w:r>
      <w:r w:rsidRPr="00A14184">
        <w:rPr>
          <w:rFonts w:ascii="Tahoma" w:hAnsi="Tahoma" w:cs="Tahoma"/>
          <w:sz w:val="22"/>
          <w:szCs w:val="22"/>
        </w:rPr>
        <w:t>’ απόφαση είναι μόνο αυτή που στηρίζεται σε αποδεδειγμένα γεγονότα</w:t>
      </w:r>
      <w:r w:rsidRPr="00A14184">
        <w:rPr>
          <w:rStyle w:val="FootnoteReference"/>
          <w:rFonts w:ascii="Tahoma" w:hAnsi="Tahoma" w:cs="Tahoma"/>
          <w:sz w:val="22"/>
          <w:szCs w:val="22"/>
        </w:rPr>
        <w:footnoteReference w:id="5"/>
      </w:r>
      <w:r w:rsidRPr="00A14184">
        <w:rPr>
          <w:rFonts w:ascii="Tahoma" w:hAnsi="Tahoma" w:cs="Tahoma"/>
          <w:sz w:val="22"/>
          <w:szCs w:val="22"/>
        </w:rPr>
        <w:t xml:space="preserve">. Αντίθετα, στο παράδειγμα της </w:t>
      </w:r>
      <w:r w:rsidRPr="00A14184">
        <w:rPr>
          <w:rFonts w:ascii="Tahoma" w:hAnsi="Tahoma" w:cs="Tahoma"/>
          <w:sz w:val="22"/>
          <w:szCs w:val="22"/>
        </w:rPr>
        <w:lastRenderedPageBreak/>
        <w:t>μετανεωτερικής επστήμης</w:t>
      </w:r>
      <w:r w:rsidRPr="00A14184">
        <w:rPr>
          <w:rStyle w:val="FootnoteReference"/>
          <w:rFonts w:ascii="Tahoma" w:hAnsi="Tahoma" w:cs="Tahoma"/>
          <w:sz w:val="22"/>
          <w:szCs w:val="22"/>
        </w:rPr>
        <w:footnoteReference w:id="6"/>
      </w:r>
      <w:r w:rsidRPr="00A14184">
        <w:rPr>
          <w:rFonts w:ascii="Tahoma" w:hAnsi="Tahoma" w:cs="Tahoma"/>
          <w:sz w:val="22"/>
          <w:szCs w:val="22"/>
        </w:rPr>
        <w:t xml:space="preserve">, η αναγνώριση των περιορισμών στη γνώση και η εξ αυτής ανάδυση των αβεβαιοτήτων, επιβάλλουν τη διεύρυνση της διακριτικής </w:t>
      </w:r>
      <w:r>
        <w:rPr>
          <w:rFonts w:ascii="Tahoma" w:hAnsi="Tahoma" w:cs="Tahoma"/>
          <w:sz w:val="22"/>
          <w:szCs w:val="22"/>
        </w:rPr>
        <w:t>ευχέρειας των αρμόδιων αρχών. Σ’</w:t>
      </w:r>
      <w:r w:rsidRPr="00A14184">
        <w:rPr>
          <w:rFonts w:ascii="Tahoma" w:hAnsi="Tahoma" w:cs="Tahoma"/>
          <w:sz w:val="22"/>
          <w:szCs w:val="22"/>
        </w:rPr>
        <w:t xml:space="preserve"> αυτό το πλαίσιο, η αρχή της προφύλαξης, προσεγγίζοντας την επιστήμη από την πλευρά των αβεβαιοτήτων, </w:t>
      </w:r>
      <w:r>
        <w:rPr>
          <w:rFonts w:ascii="Tahoma" w:hAnsi="Tahoma" w:cs="Tahoma"/>
          <w:sz w:val="22"/>
          <w:szCs w:val="22"/>
        </w:rPr>
        <w:t>προσδιορίζει τα όρια της παραπάνω διακριτικής ευχέρειας</w:t>
      </w:r>
      <w:r w:rsidRPr="00A14184">
        <w:rPr>
          <w:rFonts w:ascii="Tahoma" w:hAnsi="Tahoma" w:cs="Tahoma"/>
          <w:sz w:val="22"/>
          <w:szCs w:val="22"/>
        </w:rPr>
        <w:t xml:space="preserve">. </w:t>
      </w:r>
    </w:p>
    <w:p w:rsidR="00D67742" w:rsidRPr="00A14184" w:rsidRDefault="00D67742" w:rsidP="00D67742">
      <w:pPr>
        <w:pStyle w:val="BodyText2"/>
        <w:ind w:left="0"/>
        <w:jc w:val="both"/>
        <w:rPr>
          <w:rFonts w:ascii="Tahoma" w:hAnsi="Tahoma" w:cs="Tahoma"/>
          <w:sz w:val="22"/>
          <w:szCs w:val="22"/>
        </w:rPr>
      </w:pPr>
      <w:r w:rsidRPr="00A14184">
        <w:rPr>
          <w:rFonts w:ascii="Tahoma" w:hAnsi="Tahoma" w:cs="Tahoma"/>
          <w:sz w:val="22"/>
          <w:szCs w:val="22"/>
        </w:rPr>
        <w:t xml:space="preserve">         Η θεμελιώδης σημασία της προκείμενης αρχής  θεωρείται πλέον δεδομένη και πιστοποιείται από την τεράστια και διαρκώς ογκούμενη ενασχόληση της θεωρίας</w:t>
      </w:r>
      <w:r w:rsidRPr="00A14184">
        <w:rPr>
          <w:rStyle w:val="FootnoteReference"/>
          <w:rFonts w:ascii="Tahoma" w:hAnsi="Tahoma" w:cs="Tahoma"/>
          <w:sz w:val="22"/>
          <w:szCs w:val="22"/>
        </w:rPr>
        <w:footnoteReference w:id="7"/>
      </w:r>
      <w:r w:rsidRPr="00A14184">
        <w:rPr>
          <w:rFonts w:ascii="Tahoma" w:hAnsi="Tahoma" w:cs="Tahoma"/>
          <w:sz w:val="22"/>
          <w:szCs w:val="22"/>
        </w:rPr>
        <w:t>, σε τέτοιο μάλιστα σημείο ώστε οποιαδήποτε περαιτέρω προσπάθεια να εκλαμβάνεται περισσότερο σαν άσκηση αποσαφήνησης, παρά σαν επεξεργασία πρότασης</w:t>
      </w:r>
      <w:r w:rsidRPr="00A14184">
        <w:rPr>
          <w:rStyle w:val="FootnoteReference"/>
          <w:rFonts w:ascii="Tahoma" w:hAnsi="Tahoma" w:cs="Tahoma"/>
          <w:sz w:val="22"/>
          <w:szCs w:val="22"/>
        </w:rPr>
        <w:footnoteReference w:id="8"/>
      </w:r>
      <w:r w:rsidRPr="00A14184">
        <w:rPr>
          <w:rFonts w:ascii="Tahoma" w:hAnsi="Tahoma" w:cs="Tahoma"/>
          <w:sz w:val="22"/>
          <w:szCs w:val="22"/>
        </w:rPr>
        <w:t>. Ωστόσο, η δυναμική την οποία έχει προσλάβει, εξ αιτίας της διαρκώς αυξανόμενης χρήσης της τόσο από το νομοθέτη όσο και από το δικαστή (σε εθνικό, υπερεθνικό και διεθνές επίπεδο), καθιστούν αναγκαία την περαιτέρω προσπάθεια για συγκεκριμενοποίηση του περιεχομένου της και  για τον προσδιορισμό των όρων και των προϋποθέσεων εφαρμογής της</w:t>
      </w:r>
      <w:r w:rsidRPr="00A14184">
        <w:rPr>
          <w:rStyle w:val="FootnoteReference"/>
          <w:rFonts w:ascii="Tahoma" w:hAnsi="Tahoma" w:cs="Tahoma"/>
          <w:sz w:val="22"/>
          <w:szCs w:val="22"/>
        </w:rPr>
        <w:footnoteReference w:id="9"/>
      </w:r>
      <w:r w:rsidRPr="00A14184">
        <w:rPr>
          <w:rFonts w:ascii="Tahoma" w:hAnsi="Tahoma" w:cs="Tahoma"/>
          <w:sz w:val="22"/>
          <w:szCs w:val="22"/>
        </w:rPr>
        <w:t>.</w:t>
      </w:r>
    </w:p>
    <w:p w:rsidR="00D67742" w:rsidRPr="00A14184" w:rsidRDefault="00D67742" w:rsidP="00D67742">
      <w:pPr>
        <w:pStyle w:val="BodyText2"/>
        <w:ind w:left="0"/>
        <w:jc w:val="both"/>
        <w:rPr>
          <w:rFonts w:ascii="Tahoma" w:hAnsi="Tahoma" w:cs="Tahoma"/>
          <w:sz w:val="22"/>
          <w:szCs w:val="22"/>
        </w:rPr>
      </w:pPr>
    </w:p>
    <w:p w:rsidR="00D67742" w:rsidRPr="00EC36FF" w:rsidRDefault="00D67742" w:rsidP="00D67742">
      <w:pPr>
        <w:pStyle w:val="BodyText2"/>
        <w:ind w:left="0"/>
        <w:jc w:val="both"/>
        <w:rPr>
          <w:rFonts w:ascii="Tahoma" w:hAnsi="Tahoma" w:cs="Tahoma"/>
          <w:b/>
          <w:sz w:val="22"/>
          <w:szCs w:val="22"/>
        </w:rPr>
      </w:pPr>
      <w:r w:rsidRPr="00EC36FF">
        <w:rPr>
          <w:rFonts w:ascii="Tahoma" w:hAnsi="Tahoma" w:cs="Tahoma"/>
          <w:b/>
          <w:sz w:val="22"/>
          <w:szCs w:val="22"/>
        </w:rPr>
        <w:t>2.4.2. Ο ορισμός της αρχής της προφύλαξης</w:t>
      </w:r>
    </w:p>
    <w:p w:rsidR="00D67742" w:rsidRPr="00A14184" w:rsidRDefault="00D67742" w:rsidP="00D67742">
      <w:pPr>
        <w:pStyle w:val="BodyText2"/>
        <w:ind w:left="0"/>
        <w:jc w:val="both"/>
        <w:rPr>
          <w:rFonts w:ascii="Tahoma" w:hAnsi="Tahoma" w:cs="Tahoma"/>
          <w:sz w:val="22"/>
          <w:szCs w:val="22"/>
        </w:rPr>
      </w:pPr>
    </w:p>
    <w:p w:rsidR="00D67742" w:rsidRPr="00A14184" w:rsidRDefault="00D67742" w:rsidP="00D67742">
      <w:pPr>
        <w:spacing w:line="360" w:lineRule="auto"/>
        <w:jc w:val="both"/>
        <w:rPr>
          <w:rFonts w:ascii="Tahoma" w:hAnsi="Tahoma" w:cs="Tahoma"/>
          <w:sz w:val="22"/>
          <w:szCs w:val="22"/>
        </w:rPr>
      </w:pPr>
      <w:r w:rsidRPr="00A14184">
        <w:rPr>
          <w:rFonts w:ascii="Tahoma" w:hAnsi="Tahoma" w:cs="Tahoma"/>
          <w:sz w:val="22"/>
          <w:szCs w:val="22"/>
        </w:rPr>
        <w:t xml:space="preserve">          Στη Διακήρυξη του Ρίο (1992)</w:t>
      </w:r>
      <w:r w:rsidRPr="00A14184">
        <w:rPr>
          <w:rStyle w:val="FootnoteReference"/>
          <w:rFonts w:ascii="Tahoma" w:hAnsi="Tahoma" w:cs="Tahoma"/>
          <w:sz w:val="22"/>
          <w:szCs w:val="22"/>
        </w:rPr>
        <w:footnoteReference w:id="10"/>
      </w:r>
      <w:r w:rsidRPr="00A14184">
        <w:rPr>
          <w:rFonts w:ascii="Tahoma" w:hAnsi="Tahoma" w:cs="Tahoma"/>
          <w:sz w:val="22"/>
          <w:szCs w:val="22"/>
        </w:rPr>
        <w:t xml:space="preserve">  η αρχή της προφύλαξης</w:t>
      </w:r>
      <w:r>
        <w:rPr>
          <w:rFonts w:ascii="Tahoma" w:hAnsi="Tahoma" w:cs="Tahoma"/>
          <w:sz w:val="22"/>
          <w:szCs w:val="22"/>
        </w:rPr>
        <w:t xml:space="preserve"> ορίζεται ως εξής: ‘‘</w:t>
      </w:r>
      <w:r w:rsidRPr="00A14184">
        <w:rPr>
          <w:rFonts w:ascii="Tahoma" w:hAnsi="Tahoma" w:cs="Tahoma"/>
          <w:sz w:val="22"/>
          <w:szCs w:val="22"/>
        </w:rPr>
        <w:t>Αποσκοπώντας στην προστασία του περιβάλλοντος, η προφυλακτική προσέγγιση θα εφαρμοστεί ευρέως από τα Κράτη ανάλογα με τις δυνατότητές τους. Όταν  υπάρχουν απειλές σοβαρής ή ανεπανόρθωτης ζημίας, η έλλειψη πλήρους επιστημονικής βεβαιότητας δεν θα χρησιμοποιηθεί σαν λόγος για την αναβολή λήψης αποδοτικών μέτρων που προλαμβάνουν τη περιβαλλοντική υποβάθμιση</w:t>
      </w:r>
      <w:r>
        <w:rPr>
          <w:rFonts w:ascii="Tahoma" w:hAnsi="Tahoma" w:cs="Tahoma"/>
          <w:sz w:val="22"/>
          <w:szCs w:val="22"/>
        </w:rPr>
        <w:t>’’</w:t>
      </w:r>
      <w:r w:rsidRPr="00A14184">
        <w:rPr>
          <w:rStyle w:val="FootnoteReference"/>
          <w:rFonts w:ascii="Tahoma" w:hAnsi="Tahoma" w:cs="Tahoma"/>
          <w:sz w:val="22"/>
          <w:szCs w:val="22"/>
        </w:rPr>
        <w:footnoteReference w:id="11"/>
      </w:r>
      <w:r>
        <w:rPr>
          <w:rFonts w:ascii="Tahoma" w:hAnsi="Tahoma" w:cs="Tahoma"/>
          <w:sz w:val="22"/>
          <w:szCs w:val="22"/>
        </w:rPr>
        <w:t>.</w:t>
      </w:r>
      <w:r w:rsidRPr="00A14184">
        <w:rPr>
          <w:rFonts w:ascii="Tahoma" w:hAnsi="Tahoma" w:cs="Tahoma"/>
          <w:sz w:val="22"/>
          <w:szCs w:val="22"/>
        </w:rPr>
        <w:t xml:space="preserve"> Από το κείμενο μπορούμε να συνάγουμε ότι η αρχή συντίθεται από τέσσερα στοιχεία: α) το στοιχείο της απειλής,  το οποίο αναφέρεται στους δυνάμει κινδύνους σοβαρής ή μη αναστρέψιμης ζημίας που προέρχονται από μια δραστηριότητα, ένα προϊόν ή μια </w:t>
      </w:r>
      <w:r w:rsidRPr="00A14184">
        <w:rPr>
          <w:rFonts w:ascii="Tahoma" w:hAnsi="Tahoma" w:cs="Tahoma"/>
          <w:sz w:val="22"/>
          <w:szCs w:val="22"/>
        </w:rPr>
        <w:lastRenderedPageBreak/>
        <w:t>ουσία. Πρόκειται δηλαδή για τους τύπους κινδύνων για τους οποίους πρέπει να ληφθούν προφυλακτικά μέτρα. β) Το στοιχείο της επιστημονικής αβεβαιότητας, το οποίο αναφέρεται στους περιορισμούς της επιστημονικής γνώσης (ανεπαρκής ή μη οριστική γνώση) αναφορικά με την ύπαρξη πηγών κινδύνου</w:t>
      </w:r>
      <w:r w:rsidRPr="00A14184">
        <w:rPr>
          <w:rStyle w:val="FootnoteReference"/>
          <w:rFonts w:ascii="Tahoma" w:hAnsi="Tahoma" w:cs="Tahoma"/>
          <w:sz w:val="22"/>
          <w:szCs w:val="22"/>
        </w:rPr>
        <w:footnoteReference w:id="12"/>
      </w:r>
      <w:r w:rsidRPr="00A14184">
        <w:rPr>
          <w:rFonts w:ascii="Tahoma" w:hAnsi="Tahoma" w:cs="Tahoma"/>
          <w:sz w:val="22"/>
          <w:szCs w:val="22"/>
        </w:rPr>
        <w:t>. Πρόκειται δηλαδή για το επίπεδο απόδειξης το οποίο απαιτείται, ώστε να αποφευχθούν οι περιπτώσεις καθαρά φαντασιωτικών κινδύνων</w:t>
      </w:r>
      <w:r w:rsidRPr="00A14184">
        <w:rPr>
          <w:rStyle w:val="FootnoteReference"/>
          <w:rFonts w:ascii="Tahoma" w:hAnsi="Tahoma" w:cs="Tahoma"/>
          <w:sz w:val="22"/>
          <w:szCs w:val="22"/>
        </w:rPr>
        <w:footnoteReference w:id="13"/>
      </w:r>
      <w:r w:rsidRPr="00A14184">
        <w:rPr>
          <w:rFonts w:ascii="Tahoma" w:hAnsi="Tahoma" w:cs="Tahoma"/>
          <w:sz w:val="22"/>
          <w:szCs w:val="22"/>
        </w:rPr>
        <w:t>. γ) Το στοιχείο της προφυλακτικής δράσης, το οποίο αναφέρεται στο πώς θα αντιδράσει η αρμόδια δημόσια αρχή. Πρόκειται δηλαδή για  τους τύπους των μέτρων τα οποία πρέπει να ληφθούν. δ) Το στοιχείο της διακριτικής ευχέρειας της αρμόδιας αρχής, το οποίο αναφέρεται στο εύρος των περιθωρίων δράσης της διοίκησης. Πρόκειται δηλαδή για την κανονιστική ισχύ των ληπτέων μέτρων (υποχρεωτικά, κατευθυντήριες αρχές κλπ</w:t>
      </w:r>
      <w:r w:rsidRPr="00A14184">
        <w:rPr>
          <w:rStyle w:val="FootnoteReference"/>
          <w:rFonts w:ascii="Tahoma" w:hAnsi="Tahoma" w:cs="Tahoma"/>
          <w:sz w:val="22"/>
          <w:szCs w:val="22"/>
        </w:rPr>
        <w:footnoteReference w:id="14"/>
      </w:r>
      <w:r w:rsidRPr="00A14184">
        <w:rPr>
          <w:rFonts w:ascii="Tahoma" w:hAnsi="Tahoma" w:cs="Tahoma"/>
          <w:sz w:val="22"/>
          <w:szCs w:val="22"/>
        </w:rPr>
        <w:t>.)</w:t>
      </w:r>
    </w:p>
    <w:p w:rsidR="00D67742" w:rsidRPr="00A14184" w:rsidRDefault="00D67742" w:rsidP="00D67742">
      <w:pPr>
        <w:pStyle w:val="FootnoteText"/>
        <w:spacing w:line="360" w:lineRule="auto"/>
        <w:jc w:val="both"/>
        <w:rPr>
          <w:rFonts w:ascii="Tahoma" w:hAnsi="Tahoma" w:cs="Tahoma"/>
          <w:sz w:val="22"/>
          <w:szCs w:val="22"/>
        </w:rPr>
      </w:pPr>
    </w:p>
    <w:p w:rsidR="00D67742" w:rsidRPr="00EC36FF" w:rsidRDefault="00D67742" w:rsidP="00D67742">
      <w:pPr>
        <w:pStyle w:val="FootnoteText"/>
        <w:spacing w:line="360" w:lineRule="auto"/>
        <w:jc w:val="both"/>
        <w:rPr>
          <w:rFonts w:ascii="Tahoma" w:hAnsi="Tahoma" w:cs="Tahoma"/>
          <w:b/>
          <w:sz w:val="22"/>
          <w:szCs w:val="22"/>
        </w:rPr>
      </w:pPr>
      <w:r w:rsidRPr="00EC36FF">
        <w:rPr>
          <w:rFonts w:ascii="Tahoma" w:hAnsi="Tahoma" w:cs="Tahoma"/>
          <w:b/>
          <w:sz w:val="22"/>
          <w:szCs w:val="22"/>
        </w:rPr>
        <w:t>2.4.3. Προϋποθέσεις εφαρμογής</w:t>
      </w:r>
    </w:p>
    <w:p w:rsidR="00D67742" w:rsidRPr="00A14184" w:rsidRDefault="00D67742" w:rsidP="00D67742">
      <w:pPr>
        <w:pStyle w:val="FootnoteText"/>
        <w:spacing w:line="360" w:lineRule="auto"/>
        <w:jc w:val="both"/>
        <w:rPr>
          <w:rFonts w:ascii="Tahoma" w:hAnsi="Tahoma" w:cs="Tahoma"/>
          <w:sz w:val="22"/>
          <w:szCs w:val="22"/>
        </w:rPr>
      </w:pPr>
    </w:p>
    <w:p w:rsidR="00D67742" w:rsidRPr="00A14184" w:rsidRDefault="00D67742" w:rsidP="00D67742">
      <w:pPr>
        <w:numPr>
          <w:ilvl w:val="12"/>
          <w:numId w:val="0"/>
        </w:numPr>
        <w:spacing w:line="360" w:lineRule="auto"/>
        <w:jc w:val="both"/>
        <w:rPr>
          <w:rFonts w:ascii="Tahoma" w:hAnsi="Tahoma" w:cs="Tahoma"/>
          <w:sz w:val="22"/>
          <w:szCs w:val="22"/>
        </w:rPr>
      </w:pPr>
      <w:r>
        <w:rPr>
          <w:rFonts w:ascii="Tahoma" w:hAnsi="Tahoma" w:cs="Tahoma"/>
          <w:sz w:val="22"/>
          <w:szCs w:val="22"/>
        </w:rPr>
        <w:t>Α</w:t>
      </w:r>
      <w:r w:rsidRPr="00A14184">
        <w:rPr>
          <w:rFonts w:ascii="Tahoma" w:hAnsi="Tahoma" w:cs="Tahoma"/>
          <w:sz w:val="22"/>
          <w:szCs w:val="22"/>
        </w:rPr>
        <w:t>. Το κατώφλι</w:t>
      </w:r>
    </w:p>
    <w:p w:rsidR="00D67742" w:rsidRPr="00A14184" w:rsidRDefault="00D67742" w:rsidP="00D67742">
      <w:pPr>
        <w:pStyle w:val="FootnoteText"/>
        <w:spacing w:line="360" w:lineRule="auto"/>
        <w:jc w:val="both"/>
        <w:rPr>
          <w:rFonts w:ascii="Tahoma" w:hAnsi="Tahoma" w:cs="Tahoma"/>
          <w:sz w:val="22"/>
          <w:szCs w:val="22"/>
        </w:rPr>
      </w:pPr>
      <w:r w:rsidRPr="00A14184">
        <w:rPr>
          <w:rFonts w:ascii="Tahoma" w:hAnsi="Tahoma" w:cs="Tahoma"/>
          <w:sz w:val="22"/>
          <w:szCs w:val="22"/>
        </w:rPr>
        <w:t xml:space="preserve">           </w:t>
      </w:r>
    </w:p>
    <w:p w:rsidR="00D67742" w:rsidRPr="00A14184" w:rsidRDefault="00D67742" w:rsidP="00D67742">
      <w:pPr>
        <w:pStyle w:val="FootnoteText"/>
        <w:spacing w:line="360" w:lineRule="auto"/>
        <w:jc w:val="both"/>
        <w:rPr>
          <w:rFonts w:ascii="Tahoma" w:hAnsi="Tahoma" w:cs="Tahoma"/>
          <w:sz w:val="22"/>
          <w:szCs w:val="22"/>
        </w:rPr>
      </w:pPr>
      <w:r w:rsidRPr="00A14184">
        <w:rPr>
          <w:rFonts w:ascii="Tahoma" w:hAnsi="Tahoma" w:cs="Tahoma"/>
          <w:sz w:val="22"/>
          <w:szCs w:val="22"/>
        </w:rPr>
        <w:t xml:space="preserve">        Απαραίτητη προϋπόθεση για την εφαρμογή της αρχής της προφύλαξης είναι να οριστεί το κατώφλι, πέρα από το οποίο μία δραστηριότητα, ένα προϊόν ή μία ουσία θεωρείται ότι ενδεχομένως έχουν αρνητικές επιπτώσεις στην υγεία του ανθρώπου ή στο περιβάλλον</w:t>
      </w:r>
      <w:r w:rsidRPr="00A14184">
        <w:rPr>
          <w:rStyle w:val="FootnoteReference"/>
          <w:rFonts w:ascii="Tahoma" w:hAnsi="Tahoma" w:cs="Tahoma"/>
          <w:sz w:val="22"/>
          <w:szCs w:val="22"/>
        </w:rPr>
        <w:footnoteReference w:id="15"/>
      </w:r>
      <w:r w:rsidRPr="00A14184">
        <w:rPr>
          <w:rFonts w:ascii="Tahoma" w:hAnsi="Tahoma" w:cs="Tahoma"/>
          <w:sz w:val="22"/>
          <w:szCs w:val="22"/>
        </w:rPr>
        <w:t xml:space="preserve">. Η κοινά αποδεκτή άποψη είναι ότι πρέπει να υπάρχει μια αξιόπιστη επιστημονική πληροφορία, έστω και μειοψηφούσα στην επιστημονική κοινότητα, με βάση την οποία να εικάζεται η ύπαρξη κινδύνου. Με άλλες λέξεις, να υπάρχει εύλογος κίνδυνος έστω και μη δυνάμενος να ποσοτικοποιηθεί και όχι μια καθαρά διανοητική </w:t>
      </w:r>
      <w:r w:rsidRPr="00A14184">
        <w:rPr>
          <w:rFonts w:ascii="Tahoma" w:hAnsi="Tahoma" w:cs="Tahoma"/>
          <w:sz w:val="22"/>
          <w:szCs w:val="22"/>
        </w:rPr>
        <w:lastRenderedPageBreak/>
        <w:t>κατασκευή</w:t>
      </w:r>
      <w:r w:rsidRPr="00A14184">
        <w:rPr>
          <w:rStyle w:val="FootnoteReference"/>
          <w:rFonts w:ascii="Tahoma" w:hAnsi="Tahoma" w:cs="Tahoma"/>
          <w:sz w:val="22"/>
          <w:szCs w:val="22"/>
        </w:rPr>
        <w:footnoteReference w:id="16"/>
      </w:r>
      <w:r w:rsidRPr="00A14184">
        <w:rPr>
          <w:rFonts w:ascii="Tahoma" w:hAnsi="Tahoma" w:cs="Tahoma"/>
          <w:sz w:val="22"/>
          <w:szCs w:val="22"/>
        </w:rPr>
        <w:t>. Πρόκε</w:t>
      </w:r>
      <w:r>
        <w:rPr>
          <w:rFonts w:ascii="Tahoma" w:hAnsi="Tahoma" w:cs="Tahoma"/>
          <w:sz w:val="22"/>
          <w:szCs w:val="22"/>
        </w:rPr>
        <w:t>ιται λοιπόν για  τις λεγόμενες ‘‘</w:t>
      </w:r>
      <w:r w:rsidRPr="00A14184">
        <w:rPr>
          <w:rFonts w:ascii="Tahoma" w:hAnsi="Tahoma" w:cs="Tahoma"/>
          <w:sz w:val="22"/>
          <w:szCs w:val="22"/>
          <w:lang w:val="en-US"/>
        </w:rPr>
        <w:t>false</w:t>
      </w:r>
      <w:r w:rsidRPr="00A14184">
        <w:rPr>
          <w:rFonts w:ascii="Tahoma" w:hAnsi="Tahoma" w:cs="Tahoma"/>
          <w:sz w:val="22"/>
          <w:szCs w:val="22"/>
        </w:rPr>
        <w:t xml:space="preserve"> </w:t>
      </w:r>
      <w:r w:rsidRPr="00A14184">
        <w:rPr>
          <w:rFonts w:ascii="Tahoma" w:hAnsi="Tahoma" w:cs="Tahoma"/>
          <w:sz w:val="22"/>
          <w:szCs w:val="22"/>
          <w:lang w:val="en-US"/>
        </w:rPr>
        <w:t>negatives</w:t>
      </w:r>
      <w:r w:rsidRPr="00A14184">
        <w:rPr>
          <w:rFonts w:ascii="Tahoma" w:hAnsi="Tahoma" w:cs="Tahoma"/>
          <w:sz w:val="22"/>
          <w:szCs w:val="22"/>
        </w:rPr>
        <w:t>” καταστάσεις στις οποίες η αρχή της προφύλαξης επιβάλλει τον περιορισμό των λαθών Τύπου ΙΙ</w:t>
      </w:r>
      <w:r w:rsidRPr="00A14184">
        <w:rPr>
          <w:rStyle w:val="FootnoteReference"/>
          <w:rFonts w:ascii="Tahoma" w:hAnsi="Tahoma" w:cs="Tahoma"/>
          <w:sz w:val="22"/>
          <w:szCs w:val="22"/>
        </w:rPr>
        <w:footnoteReference w:id="17"/>
      </w:r>
      <w:r w:rsidRPr="00A14184">
        <w:rPr>
          <w:rFonts w:ascii="Tahoma" w:hAnsi="Tahoma" w:cs="Tahoma"/>
          <w:sz w:val="22"/>
          <w:szCs w:val="22"/>
        </w:rPr>
        <w:t xml:space="preserve">. </w:t>
      </w:r>
    </w:p>
    <w:p w:rsidR="00D67742" w:rsidRPr="00A14184" w:rsidRDefault="00D67742" w:rsidP="00D67742">
      <w:pPr>
        <w:pStyle w:val="FootnoteText"/>
        <w:spacing w:line="360" w:lineRule="auto"/>
        <w:jc w:val="both"/>
        <w:rPr>
          <w:rFonts w:ascii="Tahoma" w:hAnsi="Tahoma" w:cs="Tahoma"/>
          <w:sz w:val="22"/>
          <w:szCs w:val="22"/>
        </w:rPr>
      </w:pPr>
      <w:r w:rsidRPr="00A14184">
        <w:rPr>
          <w:rFonts w:ascii="Tahoma" w:hAnsi="Tahoma" w:cs="Tahoma"/>
          <w:sz w:val="22"/>
          <w:szCs w:val="22"/>
        </w:rPr>
        <w:t xml:space="preserve">    Έχει διατυπωθεί η άποψη ότι εφαρμόζεται μόνο στις εξαιρετικά βαριές ή μη αναστρέψιμες, των οποίων η πιθανή επέλευση θέτει σε κίνδυνο το ανθρώπινο είδος και τα οικοσυστήματα. Το βασικό επιχείρημα των υποστηρικτών αυτής της άποψης, μεταξύ των οποίων εξέχουσα θέση κατέχουν ο </w:t>
      </w:r>
      <w:r w:rsidRPr="00A14184">
        <w:rPr>
          <w:rFonts w:ascii="Tahoma" w:hAnsi="Tahoma" w:cs="Tahoma"/>
          <w:sz w:val="22"/>
          <w:szCs w:val="22"/>
          <w:lang w:val="en-US"/>
        </w:rPr>
        <w:t>Richard</w:t>
      </w:r>
      <w:r w:rsidRPr="00A14184">
        <w:rPr>
          <w:rFonts w:ascii="Tahoma" w:hAnsi="Tahoma" w:cs="Tahoma"/>
          <w:sz w:val="22"/>
          <w:szCs w:val="22"/>
        </w:rPr>
        <w:t xml:space="preserve"> </w:t>
      </w:r>
      <w:r w:rsidRPr="00A14184">
        <w:rPr>
          <w:rFonts w:ascii="Tahoma" w:hAnsi="Tahoma" w:cs="Tahoma"/>
          <w:sz w:val="22"/>
          <w:szCs w:val="22"/>
          <w:lang w:val="en-US"/>
        </w:rPr>
        <w:t>Posner</w:t>
      </w:r>
      <w:r w:rsidRPr="00A14184">
        <w:rPr>
          <w:rStyle w:val="FootnoteReference"/>
          <w:rFonts w:ascii="Tahoma" w:hAnsi="Tahoma" w:cs="Tahoma"/>
          <w:sz w:val="22"/>
          <w:szCs w:val="22"/>
          <w:lang w:val="en-US"/>
        </w:rPr>
        <w:footnoteReference w:id="18"/>
      </w:r>
      <w:r w:rsidRPr="00A14184">
        <w:rPr>
          <w:rFonts w:ascii="Tahoma" w:hAnsi="Tahoma" w:cs="Tahoma"/>
          <w:sz w:val="22"/>
          <w:szCs w:val="22"/>
        </w:rPr>
        <w:t xml:space="preserve"> και ο </w:t>
      </w:r>
      <w:r w:rsidRPr="00A14184">
        <w:rPr>
          <w:rFonts w:ascii="Tahoma" w:hAnsi="Tahoma" w:cs="Tahoma"/>
          <w:sz w:val="22"/>
          <w:szCs w:val="22"/>
          <w:lang w:val="en-US"/>
        </w:rPr>
        <w:t>Cass</w:t>
      </w:r>
      <w:r w:rsidRPr="00A14184">
        <w:rPr>
          <w:rFonts w:ascii="Tahoma" w:hAnsi="Tahoma" w:cs="Tahoma"/>
          <w:sz w:val="22"/>
          <w:szCs w:val="22"/>
        </w:rPr>
        <w:t xml:space="preserve"> </w:t>
      </w:r>
      <w:r w:rsidRPr="00A14184">
        <w:rPr>
          <w:rFonts w:ascii="Tahoma" w:hAnsi="Tahoma" w:cs="Tahoma"/>
          <w:sz w:val="22"/>
          <w:szCs w:val="22"/>
          <w:lang w:val="en-US"/>
        </w:rPr>
        <w:t>Sunstein</w:t>
      </w:r>
      <w:r w:rsidRPr="00A14184">
        <w:rPr>
          <w:rStyle w:val="FootnoteReference"/>
          <w:rFonts w:ascii="Tahoma" w:hAnsi="Tahoma" w:cs="Tahoma"/>
          <w:sz w:val="22"/>
          <w:szCs w:val="22"/>
          <w:lang w:val="en-US"/>
        </w:rPr>
        <w:footnoteReference w:id="19"/>
      </w:r>
      <w:r w:rsidRPr="00A14184">
        <w:rPr>
          <w:rFonts w:ascii="Tahoma" w:hAnsi="Tahoma" w:cs="Tahoma"/>
          <w:sz w:val="22"/>
          <w:szCs w:val="22"/>
        </w:rPr>
        <w:t>, είναι ότι το βασικό εργαλείο για την αντιμετώπιση των περιβαλλοντικών κινδύνων παραμένει η ανάλυση κόστους/οφέλους</w:t>
      </w:r>
      <w:r w:rsidRPr="00A14184">
        <w:rPr>
          <w:rStyle w:val="FootnoteReference"/>
          <w:rFonts w:ascii="Tahoma" w:hAnsi="Tahoma" w:cs="Tahoma"/>
          <w:sz w:val="22"/>
          <w:szCs w:val="22"/>
        </w:rPr>
        <w:footnoteReference w:id="20"/>
      </w:r>
      <w:r w:rsidRPr="00A14184">
        <w:rPr>
          <w:rFonts w:ascii="Tahoma" w:hAnsi="Tahoma" w:cs="Tahoma"/>
          <w:sz w:val="22"/>
          <w:szCs w:val="22"/>
        </w:rPr>
        <w:t>. Η τελευταία, όπως παραδέχονται οι ίδιοι, είναι σε ευθεία αντίθεση με την αρχή της προφύλαξης, όπως αυτή γίνεται δεκτή στο διεθνές δίκαιο περιβάλλοντος</w:t>
      </w:r>
      <w:r w:rsidRPr="00A14184">
        <w:rPr>
          <w:rStyle w:val="FootnoteReference"/>
          <w:rFonts w:ascii="Tahoma" w:hAnsi="Tahoma" w:cs="Tahoma"/>
          <w:sz w:val="22"/>
          <w:szCs w:val="22"/>
        </w:rPr>
        <w:footnoteReference w:id="21"/>
      </w:r>
      <w:r w:rsidRPr="00A14184">
        <w:rPr>
          <w:rFonts w:ascii="Tahoma" w:hAnsi="Tahoma" w:cs="Tahoma"/>
          <w:sz w:val="22"/>
          <w:szCs w:val="22"/>
        </w:rPr>
        <w:t>. Ωστόσο, τονίζουν, στις περιπτώσεις καταστροφικών κινδύνων (π.χ. οι πιθανές βλάβες από τις κλιματικές αλλαγές ή από τη μείωση της βιοποικιλότητας), επειδή το κόστος των ζημιών θα είναι αναντίρρητα μεγαλύτερο από το κόστος της μη ανάληψης προληπτικής δράσης (παρά τα κενά τα οποία μπορεί να παρουσιάζει η ανάλυση), επιβάλλεται η προφυλακτική προσέγγιση</w:t>
      </w:r>
      <w:r w:rsidRPr="00A14184">
        <w:rPr>
          <w:rStyle w:val="FootnoteReference"/>
          <w:rFonts w:ascii="Tahoma" w:hAnsi="Tahoma" w:cs="Tahoma"/>
          <w:sz w:val="22"/>
          <w:szCs w:val="22"/>
        </w:rPr>
        <w:footnoteReference w:id="22"/>
      </w:r>
      <w:r w:rsidRPr="00A14184">
        <w:rPr>
          <w:rFonts w:ascii="Tahoma" w:hAnsi="Tahoma" w:cs="Tahoma"/>
          <w:sz w:val="22"/>
          <w:szCs w:val="22"/>
        </w:rPr>
        <w:t xml:space="preserve">. </w:t>
      </w:r>
    </w:p>
    <w:p w:rsidR="00D67742" w:rsidRPr="00A14184" w:rsidRDefault="00D67742" w:rsidP="00D67742">
      <w:pPr>
        <w:pStyle w:val="FootnoteText"/>
        <w:spacing w:line="360" w:lineRule="auto"/>
        <w:jc w:val="both"/>
        <w:rPr>
          <w:rFonts w:ascii="Tahoma" w:hAnsi="Tahoma" w:cs="Tahoma"/>
          <w:sz w:val="22"/>
          <w:szCs w:val="22"/>
        </w:rPr>
      </w:pPr>
      <w:r w:rsidRPr="00A14184">
        <w:rPr>
          <w:rFonts w:ascii="Tahoma" w:hAnsi="Tahoma" w:cs="Tahoma"/>
          <w:sz w:val="22"/>
          <w:szCs w:val="22"/>
        </w:rPr>
        <w:t xml:space="preserve">       Αυτή η άποψη δεν είναι ορθή για τους εξής λόγους: Πρώτον, η ανάλυση κόστους/οφέλους έχει αξεπέραστα εγγενή προβλήματα  διότι η ανθρώπινη ζωή, η υγεία και το περιβάλλον δεν μπορούν να αποτιμηθούν σε χρήμα, καθώς είναι άνευ τιμής. Όπως υπογραμμίζουν οι Frank</w:t>
      </w:r>
      <w:r>
        <w:rPr>
          <w:rFonts w:ascii="Tahoma" w:hAnsi="Tahoma" w:cs="Tahoma"/>
          <w:sz w:val="22"/>
          <w:szCs w:val="22"/>
        </w:rPr>
        <w:t xml:space="preserve"> Ackerman και Liza Heinzerling ‘‘</w:t>
      </w:r>
      <w:r w:rsidRPr="00A14184">
        <w:rPr>
          <w:rFonts w:ascii="Tahoma" w:hAnsi="Tahoma" w:cs="Tahoma"/>
          <w:sz w:val="22"/>
          <w:szCs w:val="22"/>
        </w:rPr>
        <w:t xml:space="preserve">λέγοντας ότι η ζωή, η υγεία και η φύση είναι άνευ τιμής δεν σημαίνει ότι μπορούμε να ξοδεύουμε απεριόριστα ποσά για την προστασίας τους. Το να μεταφράζει κανείς σε χρήμα τη ζωή, την υγεία και τη φύση δεν είναι ο κατάλληλος τρόπος για να αποφασίσει πόση προστασία θα τους παράσχει. Ένας άλλος διαφορετικός τρόπος σκέψης και απόφασης </w:t>
      </w:r>
      <w:r w:rsidRPr="00A14184">
        <w:rPr>
          <w:rFonts w:ascii="Tahoma" w:hAnsi="Tahoma" w:cs="Tahoma"/>
          <w:sz w:val="22"/>
          <w:szCs w:val="22"/>
        </w:rPr>
        <w:lastRenderedPageBreak/>
        <w:t>απαιτείται</w:t>
      </w:r>
      <w:r>
        <w:rPr>
          <w:rFonts w:ascii="Tahoma" w:hAnsi="Tahoma" w:cs="Tahoma"/>
          <w:sz w:val="22"/>
          <w:szCs w:val="22"/>
        </w:rPr>
        <w:t>’’</w:t>
      </w:r>
      <w:r w:rsidRPr="00A14184">
        <w:rPr>
          <w:rStyle w:val="FootnoteReference"/>
          <w:rFonts w:ascii="Tahoma" w:hAnsi="Tahoma" w:cs="Tahoma"/>
          <w:sz w:val="22"/>
          <w:szCs w:val="22"/>
        </w:rPr>
        <w:footnoteReference w:id="23"/>
      </w:r>
      <w:r>
        <w:rPr>
          <w:rFonts w:ascii="Tahoma" w:hAnsi="Tahoma" w:cs="Tahoma"/>
          <w:sz w:val="22"/>
          <w:szCs w:val="22"/>
        </w:rPr>
        <w:t>.</w:t>
      </w:r>
      <w:r w:rsidRPr="00A14184">
        <w:rPr>
          <w:rFonts w:ascii="Tahoma" w:hAnsi="Tahoma" w:cs="Tahoma"/>
          <w:sz w:val="22"/>
          <w:szCs w:val="22"/>
        </w:rPr>
        <w:t xml:space="preserve"> Δεύτερον, μικρές βλάβες</w:t>
      </w:r>
      <w:r>
        <w:rPr>
          <w:rFonts w:ascii="Tahoma" w:hAnsi="Tahoma" w:cs="Tahoma"/>
          <w:sz w:val="22"/>
          <w:szCs w:val="22"/>
        </w:rPr>
        <w:t xml:space="preserve"> οι οποίες βιοσυσσωρεύο</w:t>
      </w:r>
      <w:r w:rsidRPr="00A14184">
        <w:rPr>
          <w:rFonts w:ascii="Tahoma" w:hAnsi="Tahoma" w:cs="Tahoma"/>
          <w:sz w:val="22"/>
          <w:szCs w:val="22"/>
        </w:rPr>
        <w:t xml:space="preserve">νται μπορεί να οδηγήσουν σε εξαιρετικά αρνητικά αποτελέσματα, όπως </w:t>
      </w:r>
      <w:r>
        <w:rPr>
          <w:rFonts w:ascii="Tahoma" w:hAnsi="Tahoma" w:cs="Tahoma"/>
          <w:sz w:val="22"/>
          <w:szCs w:val="22"/>
        </w:rPr>
        <w:t>συμβαίνει με τις</w:t>
      </w:r>
      <w:r w:rsidRPr="00A14184">
        <w:rPr>
          <w:rFonts w:ascii="Tahoma" w:hAnsi="Tahoma" w:cs="Tahoma"/>
          <w:sz w:val="22"/>
          <w:szCs w:val="22"/>
        </w:rPr>
        <w:t xml:space="preserve"> ενδοκρινικές διαταραχές. Γι’</w:t>
      </w:r>
      <w:r>
        <w:rPr>
          <w:rFonts w:ascii="Tahoma" w:hAnsi="Tahoma" w:cs="Tahoma"/>
          <w:sz w:val="22"/>
          <w:szCs w:val="22"/>
        </w:rPr>
        <w:t xml:space="preserve"> </w:t>
      </w:r>
      <w:r w:rsidRPr="00A14184">
        <w:rPr>
          <w:rFonts w:ascii="Tahoma" w:hAnsi="Tahoma" w:cs="Tahoma"/>
          <w:sz w:val="22"/>
          <w:szCs w:val="22"/>
        </w:rPr>
        <w:t>αυτό το λόγο στα κείμενα των Διασκέψεων για τη Βόρεια Θάλασσα, για την εφαρμογή της αρχής της προφύλαξης λαμβάνονται υπόψη οι κίνδυνοι μικρών βλαβών, των οποίων όμως η βιοσυσσώρευση δημιουργεί σοβαρά προβλήματα  στο περιβάλλον και στον άνθρωπο</w:t>
      </w:r>
      <w:r w:rsidRPr="00A14184">
        <w:rPr>
          <w:rStyle w:val="FootnoteReference"/>
          <w:rFonts w:ascii="Tahoma" w:hAnsi="Tahoma" w:cs="Tahoma"/>
          <w:sz w:val="22"/>
          <w:szCs w:val="22"/>
        </w:rPr>
        <w:footnoteReference w:id="24"/>
      </w:r>
      <w:r w:rsidRPr="00A14184">
        <w:rPr>
          <w:rFonts w:ascii="Tahoma" w:hAnsi="Tahoma" w:cs="Tahoma"/>
          <w:sz w:val="22"/>
          <w:szCs w:val="22"/>
        </w:rPr>
        <w:t xml:space="preserve">. Τρίτον, επιβάλλεται να δοθεί ιδιαίτερη προσοχή στη συνέργια της δράσης δύο ή περισσότερων επικίνδυνων ουσιών, η οποία δεν είναι πάντοτε ανιχνεύσιμη. Μία μελέτη έδειξε ότι ο συνδυασμός δύο ή τριών ζιζανιοκτόνων μπορεί να είναι μέχρι 1600 φορές πιο ισχυρός, άρα </w:t>
      </w:r>
      <w:r>
        <w:rPr>
          <w:rFonts w:ascii="Tahoma" w:hAnsi="Tahoma" w:cs="Tahoma"/>
          <w:sz w:val="22"/>
          <w:szCs w:val="22"/>
        </w:rPr>
        <w:t>πολύ</w:t>
      </w:r>
      <w:r w:rsidRPr="00A14184">
        <w:rPr>
          <w:rFonts w:ascii="Tahoma" w:hAnsi="Tahoma" w:cs="Tahoma"/>
          <w:sz w:val="22"/>
          <w:szCs w:val="22"/>
        </w:rPr>
        <w:t xml:space="preserve"> πιο  επικίνδυνος, από το καθένα ζιζανιοκτόνο ξεχωριστά</w:t>
      </w:r>
      <w:r w:rsidRPr="00A14184">
        <w:rPr>
          <w:rStyle w:val="FootnoteReference"/>
          <w:rFonts w:ascii="Tahoma" w:hAnsi="Tahoma" w:cs="Tahoma"/>
          <w:sz w:val="22"/>
          <w:szCs w:val="22"/>
        </w:rPr>
        <w:footnoteReference w:id="25"/>
      </w:r>
      <w:r w:rsidRPr="00A14184">
        <w:rPr>
          <w:rFonts w:ascii="Tahoma" w:hAnsi="Tahoma" w:cs="Tahoma"/>
          <w:sz w:val="22"/>
          <w:szCs w:val="22"/>
        </w:rPr>
        <w:t>.</w:t>
      </w:r>
    </w:p>
    <w:p w:rsidR="00D67742" w:rsidRDefault="00905B50" w:rsidP="00D67742">
      <w:pPr>
        <w:pStyle w:val="FootnoteText"/>
        <w:spacing w:line="360" w:lineRule="auto"/>
        <w:jc w:val="both"/>
        <w:rPr>
          <w:rFonts w:ascii="Tahoma" w:hAnsi="Tahoma" w:cs="Tahoma"/>
          <w:sz w:val="22"/>
          <w:szCs w:val="22"/>
        </w:rPr>
      </w:pPr>
      <w:r>
        <w:rPr>
          <w:rFonts w:ascii="Tahoma" w:hAnsi="Tahoma" w:cs="Tahoma"/>
          <w:sz w:val="22"/>
          <w:szCs w:val="22"/>
        </w:rPr>
        <w:t xml:space="preserve">      </w:t>
      </w:r>
      <w:r w:rsidR="00D67742">
        <w:rPr>
          <w:rFonts w:ascii="Tahoma" w:hAnsi="Tahoma" w:cs="Tahoma"/>
          <w:sz w:val="22"/>
          <w:szCs w:val="22"/>
        </w:rPr>
        <w:t>Είναι, κατ’αρχάς, καθή</w:t>
      </w:r>
      <w:r w:rsidR="00D67742" w:rsidRPr="00A14184">
        <w:rPr>
          <w:rFonts w:ascii="Tahoma" w:hAnsi="Tahoma" w:cs="Tahoma"/>
          <w:sz w:val="22"/>
          <w:szCs w:val="22"/>
        </w:rPr>
        <w:t>κον των αρμόδιων αρχών να προσδιορίσουν το κατώφλι, δηλαδή να επιλέξουν το επίπεδο προστασίας</w:t>
      </w:r>
      <w:r w:rsidR="00D67742" w:rsidRPr="00A14184">
        <w:rPr>
          <w:rStyle w:val="FootnoteReference"/>
          <w:rFonts w:ascii="Tahoma" w:hAnsi="Tahoma" w:cs="Tahoma"/>
          <w:sz w:val="22"/>
          <w:szCs w:val="22"/>
        </w:rPr>
        <w:footnoteReference w:id="26"/>
      </w:r>
      <w:r w:rsidR="00D67742" w:rsidRPr="00A14184">
        <w:rPr>
          <w:rFonts w:ascii="Tahoma" w:hAnsi="Tahoma" w:cs="Tahoma"/>
          <w:sz w:val="22"/>
          <w:szCs w:val="22"/>
        </w:rPr>
        <w:t>, λαμβάνοντας υπόψη την προηγούμενη επιστημονική εκτίμηση του κινδύνου</w:t>
      </w:r>
      <w:r w:rsidR="00D67742" w:rsidRPr="00A14184">
        <w:rPr>
          <w:rStyle w:val="FootnoteReference"/>
          <w:rFonts w:ascii="Tahoma" w:hAnsi="Tahoma" w:cs="Tahoma"/>
          <w:sz w:val="22"/>
          <w:szCs w:val="22"/>
        </w:rPr>
        <w:footnoteReference w:id="27"/>
      </w:r>
      <w:r w:rsidR="00D67742" w:rsidRPr="00A14184">
        <w:rPr>
          <w:rFonts w:ascii="Tahoma" w:hAnsi="Tahoma" w:cs="Tahoma"/>
          <w:sz w:val="22"/>
          <w:szCs w:val="22"/>
        </w:rPr>
        <w:t>.</w:t>
      </w:r>
      <w:r w:rsidR="00D67742">
        <w:rPr>
          <w:rFonts w:ascii="Tahoma" w:hAnsi="Tahoma" w:cs="Tahoma"/>
          <w:sz w:val="22"/>
          <w:szCs w:val="22"/>
        </w:rPr>
        <w:t xml:space="preserve"> Το κατά πόσο η τελευταία είναι επαρκής ώστε να ληφθούν μέτρα προφύλαξης συναρτάται με το επιλεγόμενο, κάθε φορά, επίπεδο προστασίας. Θεωρείται επαρκής όταν επιδιώκεται η εξασφάλιση σχετικά χαμηλού επιπέδου προστασίας έναντι ενός κινδύνου ή ανεπαρκής όταν επιδιώκεται υψηλότερο επίπεδο έναντι του ιδίου κινδύνου</w:t>
      </w:r>
      <w:r w:rsidR="00D67742">
        <w:rPr>
          <w:rStyle w:val="FootnoteReference"/>
          <w:rFonts w:ascii="Tahoma" w:hAnsi="Tahoma" w:cs="Tahoma"/>
          <w:sz w:val="22"/>
          <w:szCs w:val="22"/>
        </w:rPr>
        <w:footnoteReference w:id="28"/>
      </w:r>
      <w:r w:rsidR="00D67742">
        <w:rPr>
          <w:rFonts w:ascii="Tahoma" w:hAnsi="Tahoma" w:cs="Tahoma"/>
          <w:sz w:val="22"/>
          <w:szCs w:val="22"/>
        </w:rPr>
        <w:t>.</w:t>
      </w:r>
    </w:p>
    <w:p w:rsidR="00D67742" w:rsidRPr="00047B75" w:rsidRDefault="00D67742" w:rsidP="00D67742">
      <w:pPr>
        <w:pStyle w:val="FootnoteText"/>
        <w:spacing w:line="360" w:lineRule="auto"/>
        <w:jc w:val="both"/>
        <w:rPr>
          <w:rFonts w:ascii="Tahoma" w:hAnsi="Tahoma" w:cs="Tahoma"/>
          <w:sz w:val="22"/>
          <w:szCs w:val="22"/>
        </w:rPr>
      </w:pPr>
      <w:r w:rsidRPr="00A14184">
        <w:rPr>
          <w:rFonts w:ascii="Tahoma" w:hAnsi="Tahoma" w:cs="Tahoma"/>
          <w:sz w:val="22"/>
          <w:szCs w:val="22"/>
        </w:rPr>
        <w:t xml:space="preserve"> </w:t>
      </w:r>
      <w:r>
        <w:rPr>
          <w:rFonts w:ascii="Tahoma" w:hAnsi="Tahoma" w:cs="Tahoma"/>
          <w:sz w:val="22"/>
          <w:szCs w:val="22"/>
        </w:rPr>
        <w:t>Π</w:t>
      </w:r>
      <w:r w:rsidRPr="00A14184">
        <w:rPr>
          <w:rFonts w:ascii="Tahoma" w:hAnsi="Tahoma" w:cs="Tahoma"/>
          <w:sz w:val="22"/>
          <w:szCs w:val="22"/>
        </w:rPr>
        <w:t>αράλληλα,</w:t>
      </w:r>
      <w:r>
        <w:rPr>
          <w:rFonts w:ascii="Tahoma" w:hAnsi="Tahoma" w:cs="Tahoma"/>
          <w:sz w:val="22"/>
          <w:szCs w:val="22"/>
        </w:rPr>
        <w:t xml:space="preserve"> ανήκει</w:t>
      </w:r>
      <w:r w:rsidRPr="00A14184">
        <w:rPr>
          <w:rFonts w:ascii="Tahoma" w:hAnsi="Tahoma" w:cs="Tahoma"/>
          <w:sz w:val="22"/>
          <w:szCs w:val="22"/>
        </w:rPr>
        <w:t xml:space="preserve"> στο δικαστή να αξιολογήσει τα ως άνω δεδομένα (τις in concreto παραμέτρους του κινδύνου) αναδεικνύοντας έτσι την επικοινωνιακή λειτουργία του δικαίου, σύμφωνα με την οποία το τελευταίο συνιστά ένα κανονιστικό πλαίσιο εντός του οποίου λειτουργεί ένα σύνολο ανοιχτών αντιλήψεων</w:t>
      </w:r>
      <w:r w:rsidRPr="00A14184">
        <w:rPr>
          <w:rStyle w:val="FootnoteReference"/>
          <w:rFonts w:ascii="Tahoma" w:hAnsi="Tahoma" w:cs="Tahoma"/>
          <w:sz w:val="22"/>
          <w:szCs w:val="22"/>
        </w:rPr>
        <w:footnoteReference w:id="29"/>
      </w:r>
      <w:r w:rsidRPr="00A14184">
        <w:rPr>
          <w:rFonts w:ascii="Tahoma" w:hAnsi="Tahoma" w:cs="Tahoma"/>
          <w:sz w:val="22"/>
          <w:szCs w:val="22"/>
        </w:rPr>
        <w:t xml:space="preserve">. </w:t>
      </w:r>
    </w:p>
    <w:p w:rsidR="00905B50" w:rsidRPr="00047B75" w:rsidRDefault="00905B50" w:rsidP="00D67742">
      <w:pPr>
        <w:pStyle w:val="FootnoteText"/>
        <w:spacing w:line="360" w:lineRule="auto"/>
        <w:jc w:val="both"/>
        <w:rPr>
          <w:rFonts w:ascii="Tahoma" w:hAnsi="Tahoma" w:cs="Tahoma"/>
          <w:sz w:val="22"/>
          <w:szCs w:val="22"/>
        </w:rPr>
      </w:pPr>
    </w:p>
    <w:p w:rsidR="00905B50" w:rsidRPr="00905B50" w:rsidRDefault="00D67742" w:rsidP="00D67742">
      <w:pPr>
        <w:pStyle w:val="FootnoteText"/>
        <w:spacing w:line="360" w:lineRule="auto"/>
        <w:jc w:val="both"/>
        <w:rPr>
          <w:rFonts w:ascii="Tahoma" w:hAnsi="Tahoma" w:cs="Tahoma"/>
          <w:sz w:val="22"/>
          <w:szCs w:val="22"/>
        </w:rPr>
      </w:pPr>
      <w:r>
        <w:rPr>
          <w:rFonts w:ascii="Tahoma" w:hAnsi="Tahoma" w:cs="Tahoma"/>
          <w:sz w:val="22"/>
          <w:szCs w:val="22"/>
        </w:rPr>
        <w:t>Β</w:t>
      </w:r>
      <w:r w:rsidRPr="00A14184">
        <w:rPr>
          <w:rFonts w:ascii="Tahoma" w:hAnsi="Tahoma" w:cs="Tahoma"/>
          <w:sz w:val="22"/>
          <w:szCs w:val="22"/>
        </w:rPr>
        <w:t>. Η αρχή της προφύλαξης σε σχέση με την αρχή της αναλογικότητας</w:t>
      </w:r>
    </w:p>
    <w:p w:rsidR="00D67742" w:rsidRPr="00A14184" w:rsidRDefault="00D67742" w:rsidP="00D67742">
      <w:pPr>
        <w:pStyle w:val="FootnoteText"/>
        <w:spacing w:line="360" w:lineRule="auto"/>
        <w:jc w:val="both"/>
        <w:rPr>
          <w:rFonts w:ascii="Tahoma" w:hAnsi="Tahoma" w:cs="Tahoma"/>
          <w:sz w:val="22"/>
          <w:szCs w:val="22"/>
        </w:rPr>
      </w:pPr>
      <w:r w:rsidRPr="00A14184">
        <w:rPr>
          <w:rFonts w:ascii="Tahoma" w:hAnsi="Tahoma" w:cs="Tahoma"/>
          <w:sz w:val="22"/>
          <w:szCs w:val="22"/>
        </w:rPr>
        <w:t xml:space="preserve">   </w:t>
      </w:r>
    </w:p>
    <w:p w:rsidR="00D67742" w:rsidRPr="00A14184" w:rsidRDefault="00905B50" w:rsidP="00D67742">
      <w:pPr>
        <w:spacing w:line="360" w:lineRule="auto"/>
        <w:jc w:val="both"/>
        <w:rPr>
          <w:rFonts w:ascii="Tahoma" w:hAnsi="Tahoma" w:cs="Tahoma"/>
          <w:sz w:val="22"/>
          <w:szCs w:val="22"/>
        </w:rPr>
      </w:pPr>
      <w:r>
        <w:rPr>
          <w:rFonts w:ascii="Tahoma" w:hAnsi="Tahoma" w:cs="Tahoma"/>
          <w:sz w:val="22"/>
          <w:szCs w:val="22"/>
        </w:rPr>
        <w:lastRenderedPageBreak/>
        <w:t>Η</w:t>
      </w:r>
      <w:r w:rsidR="00D67742" w:rsidRPr="00A14184">
        <w:rPr>
          <w:rFonts w:ascii="Tahoma" w:hAnsi="Tahoma" w:cs="Tahoma"/>
          <w:sz w:val="22"/>
          <w:szCs w:val="22"/>
        </w:rPr>
        <w:t xml:space="preserve"> εφαρμογή της εν λόγω αρχής άλλοτε συναρτάται με το κόστος των μέτρων και άλλοτε όχι. Έτσι λοιπόν, </w:t>
      </w:r>
      <w:r w:rsidR="00D67742" w:rsidRPr="00A14184">
        <w:rPr>
          <w:rFonts w:ascii="Tahoma" w:hAnsi="Tahoma" w:cs="Tahoma"/>
          <w:sz w:val="22"/>
          <w:szCs w:val="22"/>
          <w:lang w:val="en-US"/>
        </w:rPr>
        <w:t>grosso</w:t>
      </w:r>
      <w:r w:rsidR="00D67742" w:rsidRPr="00A14184">
        <w:rPr>
          <w:rFonts w:ascii="Tahoma" w:hAnsi="Tahoma" w:cs="Tahoma"/>
          <w:sz w:val="22"/>
          <w:szCs w:val="22"/>
        </w:rPr>
        <w:t xml:space="preserve"> </w:t>
      </w:r>
      <w:r w:rsidR="00D67742" w:rsidRPr="00A14184">
        <w:rPr>
          <w:rFonts w:ascii="Tahoma" w:hAnsi="Tahoma" w:cs="Tahoma"/>
          <w:sz w:val="22"/>
          <w:szCs w:val="22"/>
          <w:lang w:val="en-US"/>
        </w:rPr>
        <w:t>modo</w:t>
      </w:r>
      <w:r w:rsidR="00D67742" w:rsidRPr="00A14184">
        <w:rPr>
          <w:rFonts w:ascii="Tahoma" w:hAnsi="Tahoma" w:cs="Tahoma"/>
          <w:sz w:val="22"/>
          <w:szCs w:val="22"/>
        </w:rPr>
        <w:t>, μπορούμε να κατηγοριοποιήσουμε την εν λόγω αρχή σε δύο εκδοχές: στην ασθενή ή στενή (α) και στην ισχυρή η ευρεία (β).</w:t>
      </w:r>
      <w:r w:rsidR="00D67742" w:rsidRPr="00A14184">
        <w:rPr>
          <w:rStyle w:val="FootnoteReference"/>
          <w:rFonts w:ascii="Tahoma" w:hAnsi="Tahoma" w:cs="Tahoma"/>
          <w:sz w:val="22"/>
          <w:szCs w:val="22"/>
        </w:rPr>
        <w:footnoteReference w:id="30"/>
      </w:r>
    </w:p>
    <w:p w:rsidR="00D67742" w:rsidRPr="00A14184" w:rsidRDefault="00D67742" w:rsidP="00D67742">
      <w:pPr>
        <w:spacing w:line="360" w:lineRule="auto"/>
        <w:ind w:firstLine="720"/>
        <w:jc w:val="both"/>
        <w:rPr>
          <w:rFonts w:ascii="Tahoma" w:hAnsi="Tahoma" w:cs="Tahoma"/>
          <w:sz w:val="22"/>
          <w:szCs w:val="22"/>
        </w:rPr>
      </w:pPr>
      <w:r w:rsidRPr="00A14184">
        <w:rPr>
          <w:rFonts w:ascii="Tahoma" w:hAnsi="Tahoma" w:cs="Tahoma"/>
          <w:sz w:val="22"/>
          <w:szCs w:val="22"/>
        </w:rPr>
        <w:t>α.) Σύμφωνα με αυτή την εκδοχή, η εφαρμογή της αρχής της προφύλαξης συναρτάται με τις δυνατότητες των κρατών</w:t>
      </w:r>
      <w:r w:rsidRPr="00A14184">
        <w:rPr>
          <w:rStyle w:val="FootnoteReference"/>
          <w:rFonts w:ascii="Tahoma" w:hAnsi="Tahoma" w:cs="Tahoma"/>
          <w:sz w:val="22"/>
          <w:szCs w:val="22"/>
        </w:rPr>
        <w:footnoteReference w:id="31"/>
      </w:r>
      <w:r w:rsidRPr="00A14184">
        <w:rPr>
          <w:rFonts w:ascii="Tahoma" w:hAnsi="Tahoma" w:cs="Tahoma"/>
          <w:sz w:val="22"/>
          <w:szCs w:val="22"/>
        </w:rPr>
        <w:t>, δηλαδή εξαρτάται από τα μέσα που διαθέτουν τα κράτη και ιδίως από το βαθμό ανάπτυξής τους. Κυρίως όμως συναρτάται με το κόστος και την αποτελεσματικότητα των προτεινόμενων προφυλακτικών μέτρων</w:t>
      </w:r>
      <w:r w:rsidRPr="00A14184">
        <w:rPr>
          <w:rStyle w:val="FootnoteReference"/>
          <w:rFonts w:ascii="Tahoma" w:hAnsi="Tahoma" w:cs="Tahoma"/>
          <w:sz w:val="22"/>
          <w:szCs w:val="22"/>
        </w:rPr>
        <w:footnoteReference w:id="32"/>
      </w:r>
      <w:r>
        <w:rPr>
          <w:rFonts w:ascii="Tahoma" w:hAnsi="Tahoma" w:cs="Tahoma"/>
          <w:sz w:val="22"/>
          <w:szCs w:val="22"/>
        </w:rPr>
        <w:t>.</w:t>
      </w:r>
      <w:r w:rsidRPr="00A14184">
        <w:rPr>
          <w:rFonts w:ascii="Tahoma" w:hAnsi="Tahoma" w:cs="Tahoma"/>
          <w:sz w:val="22"/>
          <w:szCs w:val="22"/>
        </w:rPr>
        <w:t xml:space="preserve"> Δηλαδή δεν μπορούν να ληφθούν μέτρα παρά μόνο εάν το κόστος τους δεν είναι υπερβολικό σε σχέση με τα αποτελέσματά τους. Είναι προφανές ότι η συγκεκριμένη εκδοχή προσπαθεί να αποκαταστήσει μία ισορροπία ανάμεσα στο στόχο για προστασία του περιβάλλοντος και στα οικονομικά συμφέροντα που είναι δημιουργοί τέτοιων κινδύνων</w:t>
      </w:r>
      <w:r w:rsidRPr="00A14184">
        <w:rPr>
          <w:rStyle w:val="FootnoteReference"/>
          <w:rFonts w:ascii="Tahoma" w:hAnsi="Tahoma" w:cs="Tahoma"/>
          <w:sz w:val="22"/>
          <w:szCs w:val="22"/>
        </w:rPr>
        <w:footnoteReference w:id="33"/>
      </w:r>
      <w:r w:rsidRPr="00A14184">
        <w:rPr>
          <w:rFonts w:ascii="Tahoma" w:hAnsi="Tahoma" w:cs="Tahoma"/>
          <w:sz w:val="22"/>
          <w:szCs w:val="22"/>
        </w:rPr>
        <w:t xml:space="preserve">. Αυτή όμως η ισορροπία που εδράζεται στην αρχή της αναλογικότητας με τη μορφή της ανάλυσης κόστους/οφέλους, καταλήγει στη πράξη, σε υπερίσχυση των αρχών του ελεύθερου εμπορίου, όπως φαίνεται από την ερμηνεία που έχει δοθεί στο άρθρο ΧΧ της </w:t>
      </w:r>
      <w:r w:rsidRPr="00A14184">
        <w:rPr>
          <w:rFonts w:ascii="Tahoma" w:hAnsi="Tahoma" w:cs="Tahoma"/>
          <w:sz w:val="22"/>
          <w:szCs w:val="22"/>
          <w:lang w:val="en-US"/>
        </w:rPr>
        <w:t>GATT</w:t>
      </w:r>
      <w:r w:rsidRPr="00A14184">
        <w:rPr>
          <w:rFonts w:ascii="Tahoma" w:hAnsi="Tahoma" w:cs="Tahoma"/>
          <w:sz w:val="22"/>
          <w:szCs w:val="22"/>
        </w:rPr>
        <w:t xml:space="preserve"> (1994) και στο άρθρο 5.4 και 5.7 της Συμφωνίας </w:t>
      </w:r>
      <w:r w:rsidRPr="00A14184">
        <w:rPr>
          <w:rFonts w:ascii="Tahoma" w:hAnsi="Tahoma" w:cs="Tahoma"/>
          <w:sz w:val="22"/>
          <w:szCs w:val="22"/>
          <w:lang w:val="en-US"/>
        </w:rPr>
        <w:t>SPS</w:t>
      </w:r>
      <w:r w:rsidRPr="00A14184">
        <w:rPr>
          <w:rStyle w:val="FootnoteReference"/>
          <w:rFonts w:ascii="Tahoma" w:hAnsi="Tahoma" w:cs="Tahoma"/>
          <w:sz w:val="22"/>
          <w:szCs w:val="22"/>
          <w:lang w:val="en-US"/>
        </w:rPr>
        <w:footnoteReference w:id="34"/>
      </w:r>
      <w:r w:rsidRPr="00A14184">
        <w:rPr>
          <w:rFonts w:ascii="Tahoma" w:hAnsi="Tahoma" w:cs="Tahoma"/>
          <w:sz w:val="22"/>
          <w:szCs w:val="22"/>
        </w:rPr>
        <w:t>. Αυτή η εκδοχή αφαιρεί σημαντικό μέρος από την ουσία της αρχής της προφύλαξης και υπάρχει κίνδυνος να οδηγήσει σε τελική ανάλυση στην απίσχνασή της ή και στην  ανατροπή της, δεδομένου ότι σε πολλές περιπτώσεις όπου υπάρχει αβεβαιότητα αναφορικά με τους κινδύνους και με το εύρος ή τη βαρύτητα της επαπειλούμενης βλάβης ο προσδιορισμός τόσο των οφελών όσο και του κόστους των ληπτέων μέτρων είναι αδύνατος</w:t>
      </w:r>
      <w:r w:rsidRPr="00A14184">
        <w:rPr>
          <w:rStyle w:val="FootnoteReference"/>
          <w:rFonts w:ascii="Tahoma" w:hAnsi="Tahoma" w:cs="Tahoma"/>
          <w:sz w:val="22"/>
          <w:szCs w:val="22"/>
        </w:rPr>
        <w:footnoteReference w:id="35"/>
      </w:r>
      <w:r w:rsidRPr="00A14184">
        <w:rPr>
          <w:rFonts w:ascii="Tahoma" w:hAnsi="Tahoma" w:cs="Tahoma"/>
          <w:sz w:val="22"/>
          <w:szCs w:val="22"/>
        </w:rPr>
        <w:t xml:space="preserve">. </w:t>
      </w:r>
    </w:p>
    <w:p w:rsidR="00D67742" w:rsidRDefault="00D67742" w:rsidP="00D67742">
      <w:pPr>
        <w:spacing w:line="360" w:lineRule="auto"/>
        <w:ind w:firstLine="720"/>
        <w:jc w:val="both"/>
        <w:rPr>
          <w:rFonts w:ascii="Tahoma" w:hAnsi="Tahoma" w:cs="Tahoma"/>
          <w:sz w:val="22"/>
          <w:szCs w:val="22"/>
        </w:rPr>
      </w:pPr>
      <w:r w:rsidRPr="00A14184">
        <w:rPr>
          <w:rFonts w:ascii="Tahoma" w:hAnsi="Tahoma" w:cs="Tahoma"/>
          <w:sz w:val="22"/>
          <w:szCs w:val="22"/>
        </w:rPr>
        <w:t>β) Στη δεύτερη εκδοχή της αρχής της προφύλαξης</w:t>
      </w:r>
      <w:r w:rsidRPr="00A14184">
        <w:rPr>
          <w:rStyle w:val="FootnoteReference"/>
          <w:rFonts w:ascii="Tahoma" w:hAnsi="Tahoma" w:cs="Tahoma"/>
          <w:sz w:val="22"/>
          <w:szCs w:val="22"/>
        </w:rPr>
        <w:footnoteReference w:id="36"/>
      </w:r>
      <w:r w:rsidRPr="00A14184">
        <w:rPr>
          <w:rFonts w:ascii="Tahoma" w:hAnsi="Tahoma" w:cs="Tahoma"/>
          <w:sz w:val="22"/>
          <w:szCs w:val="22"/>
        </w:rPr>
        <w:t xml:space="preserve">, η εφαρμογή της δεν συναρτάται με το κόστος των μέτρων, καθώς επιβάλλουν  μόνο την υποχρέωση να </w:t>
      </w:r>
      <w:r w:rsidRPr="00A14184">
        <w:rPr>
          <w:rFonts w:ascii="Tahoma" w:hAnsi="Tahoma" w:cs="Tahoma"/>
          <w:sz w:val="22"/>
          <w:szCs w:val="22"/>
        </w:rPr>
        <w:lastRenderedPageBreak/>
        <w:t>αποτραπούν οι πιθανές βλάβες στο περιβάλλον</w:t>
      </w:r>
      <w:r w:rsidRPr="00A14184">
        <w:rPr>
          <w:rStyle w:val="FootnoteReference"/>
          <w:rFonts w:ascii="Tahoma" w:hAnsi="Tahoma" w:cs="Tahoma"/>
          <w:sz w:val="22"/>
          <w:szCs w:val="22"/>
        </w:rPr>
        <w:footnoteReference w:id="37"/>
      </w:r>
      <w:r w:rsidRPr="00A14184">
        <w:rPr>
          <w:rFonts w:ascii="Tahoma" w:hAnsi="Tahoma" w:cs="Tahoma"/>
          <w:sz w:val="22"/>
          <w:szCs w:val="22"/>
        </w:rPr>
        <w:t>. Τούτο σημαίνει ότι οι υπόνοιες πιθανών κινδύνων βλάβης, αρκούν για να θεμελιώσουν υποχρέωση λήψης προφυλακτικών μέτρων</w:t>
      </w:r>
      <w:r w:rsidRPr="00A14184">
        <w:rPr>
          <w:rStyle w:val="FootnoteReference"/>
          <w:rFonts w:ascii="Tahoma" w:hAnsi="Tahoma" w:cs="Tahoma"/>
          <w:sz w:val="22"/>
          <w:szCs w:val="22"/>
        </w:rPr>
        <w:footnoteReference w:id="38"/>
      </w:r>
      <w:r w:rsidRPr="00A14184">
        <w:rPr>
          <w:rFonts w:ascii="Tahoma" w:hAnsi="Tahoma" w:cs="Tahoma"/>
          <w:sz w:val="22"/>
          <w:szCs w:val="22"/>
        </w:rPr>
        <w:t>. Αυτή η προσέγγιση φαίνεται να αρμόζει περισσότερο προς τη φύση της αρχής της προφύλαξης, δεδομένου ότι η αβεβαιότητα η οποία  υφίσταται δεν επιτρέπει να ποσοτικοποιηθεί κάθε  κόστος και κάθε όφελος</w:t>
      </w:r>
      <w:r w:rsidRPr="00A14184">
        <w:rPr>
          <w:rStyle w:val="FootnoteReference"/>
          <w:rFonts w:ascii="Tahoma" w:hAnsi="Tahoma" w:cs="Tahoma"/>
          <w:sz w:val="22"/>
          <w:szCs w:val="22"/>
        </w:rPr>
        <w:footnoteReference w:id="39"/>
      </w:r>
      <w:r w:rsidRPr="00A14184">
        <w:rPr>
          <w:rFonts w:ascii="Tahoma" w:hAnsi="Tahoma" w:cs="Tahoma"/>
          <w:sz w:val="22"/>
          <w:szCs w:val="22"/>
        </w:rPr>
        <w:t>. Π.χ, κανείς δεν γνωρίζει ακριβώς, ποιες θα είναι οι κλιματικές αλλαγές και ποιος είναι ο ρυθμός αυτών των αλλαγών. Ομοίως, κανείς δεν γνωρίζει ποιες θα είναι ακριβώς οι επιπτώσεις στα οικοσυστήματα, στη βιοποικιλότητα ή στην υγεία του ανθρώπου</w:t>
      </w:r>
      <w:r w:rsidRPr="00A14184">
        <w:rPr>
          <w:rStyle w:val="FootnoteReference"/>
          <w:rFonts w:ascii="Tahoma" w:hAnsi="Tahoma" w:cs="Tahoma"/>
          <w:sz w:val="22"/>
          <w:szCs w:val="22"/>
        </w:rPr>
        <w:footnoteReference w:id="40"/>
      </w:r>
      <w:r>
        <w:rPr>
          <w:rFonts w:ascii="Tahoma" w:hAnsi="Tahoma" w:cs="Tahoma"/>
          <w:sz w:val="22"/>
          <w:szCs w:val="22"/>
        </w:rPr>
        <w:t>. Κ</w:t>
      </w:r>
      <w:r w:rsidRPr="00A14184">
        <w:rPr>
          <w:rFonts w:ascii="Tahoma" w:hAnsi="Tahoma" w:cs="Tahoma"/>
          <w:sz w:val="22"/>
          <w:szCs w:val="22"/>
        </w:rPr>
        <w:t xml:space="preserve">ατά συνέπεια δεν αρκούν οι εκτιμήσεις που στηρίζονται αναγκαστικά σε ό,τι σήμερα γνωρίζουμε. </w:t>
      </w:r>
    </w:p>
    <w:p w:rsidR="00D67742" w:rsidRDefault="00D67742" w:rsidP="00D67742">
      <w:pPr>
        <w:spacing w:line="360" w:lineRule="auto"/>
        <w:jc w:val="both"/>
        <w:rPr>
          <w:rFonts w:ascii="Tahoma" w:hAnsi="Tahoma" w:cs="Tahoma"/>
          <w:sz w:val="22"/>
          <w:szCs w:val="22"/>
        </w:rPr>
      </w:pPr>
      <w:r>
        <w:rPr>
          <w:rFonts w:ascii="Tahoma" w:hAnsi="Tahoma" w:cs="Tahoma"/>
          <w:sz w:val="22"/>
          <w:szCs w:val="22"/>
        </w:rPr>
        <w:t xml:space="preserve">         </w:t>
      </w:r>
      <w:r w:rsidRPr="00A14184">
        <w:rPr>
          <w:rFonts w:ascii="Tahoma" w:hAnsi="Tahoma" w:cs="Tahoma"/>
          <w:sz w:val="22"/>
          <w:szCs w:val="22"/>
        </w:rPr>
        <w:t>Η διέξοδος λοιπόν μπορεί να προκύψει από την απάντηση που θα δοθεί στο ακόλουθο ερώτημα: εάν στη σχετική συζήτηση η μια πλευρά αποδεικνύεται τελικά η ορθή, ποιο θα είναι το κόστος στη περίπτωση που έχουμε επιλέξει την άλλη πλευρά; Εάν αποδειχθεί ορθή η άποψη ότι οι κίνδυνοι είναι μικροί, τότε στην περίπτωση που έχουμε κινηθεί με βάση την αντίθετη άποψη, σημαίνει ότι η κοινωνία υπερεπένδυσε στην προστασία της υγείας και του περιβάλλοντος, ξοδεύοντας πολύ περισσότερα χρήματα από αυτά που απαιτούντο. Εάν αποδειχθεί ορθή η άποψη ότι οι κίνδυνοι είναι πολύ σοβαροί, τότε στην περίπτωση που έχουμε κινηθεί με βάση την αντίθετη άποψη, σημαίνει ότι η κοινωνία απέτυχε να προστατεύσει τις παρούσες και τις μελλοντικές γενεές από σοβαρούς κινδύνους. Όπως αντιλαμβάνεται κανείς, τα δύο λάθη δεν είναι της ίδιας τάξης και γι’</w:t>
      </w:r>
      <w:r>
        <w:rPr>
          <w:rFonts w:ascii="Tahoma" w:hAnsi="Tahoma" w:cs="Tahoma"/>
          <w:sz w:val="22"/>
          <w:szCs w:val="22"/>
        </w:rPr>
        <w:t xml:space="preserve"> </w:t>
      </w:r>
      <w:r w:rsidRPr="00A14184">
        <w:rPr>
          <w:rFonts w:ascii="Tahoma" w:hAnsi="Tahoma" w:cs="Tahoma"/>
          <w:sz w:val="22"/>
          <w:szCs w:val="22"/>
        </w:rPr>
        <w:t>αυτό η προτίμησή μας πρέπει να δοθεί στην προστασία των σημερινών και των μελλοντικών γενεών</w:t>
      </w:r>
      <w:r w:rsidRPr="00A14184">
        <w:rPr>
          <w:rStyle w:val="FootnoteReference"/>
          <w:rFonts w:ascii="Tahoma" w:hAnsi="Tahoma" w:cs="Tahoma"/>
          <w:sz w:val="22"/>
          <w:szCs w:val="22"/>
        </w:rPr>
        <w:footnoteReference w:id="41"/>
      </w:r>
      <w:r w:rsidRPr="00A14184">
        <w:rPr>
          <w:rFonts w:ascii="Tahoma" w:hAnsi="Tahoma" w:cs="Tahoma"/>
          <w:sz w:val="22"/>
          <w:szCs w:val="22"/>
        </w:rPr>
        <w:t xml:space="preserve">. Με βάση τις παραπάνω </w:t>
      </w:r>
      <w:r>
        <w:rPr>
          <w:rFonts w:ascii="Tahoma" w:hAnsi="Tahoma" w:cs="Tahoma"/>
          <w:sz w:val="22"/>
          <w:szCs w:val="22"/>
        </w:rPr>
        <w:t>παρατηρήσεις</w:t>
      </w:r>
      <w:r w:rsidRPr="00A14184">
        <w:rPr>
          <w:rFonts w:ascii="Tahoma" w:hAnsi="Tahoma" w:cs="Tahoma"/>
          <w:sz w:val="22"/>
          <w:szCs w:val="22"/>
        </w:rPr>
        <w:t xml:space="preserve"> φαίνεται ότι μόνο υπό την ευρεία της εκδοχή είναι δυνατόν να είναι αποτελεσματική και λειτουργική η αρχή της προφύλαξης</w:t>
      </w:r>
      <w:r w:rsidRPr="00A14184">
        <w:rPr>
          <w:rStyle w:val="FootnoteReference"/>
          <w:rFonts w:ascii="Tahoma" w:hAnsi="Tahoma" w:cs="Tahoma"/>
          <w:sz w:val="22"/>
          <w:szCs w:val="22"/>
        </w:rPr>
        <w:footnoteReference w:id="42"/>
      </w:r>
      <w:r w:rsidRPr="00A14184">
        <w:rPr>
          <w:rFonts w:ascii="Tahoma" w:hAnsi="Tahoma" w:cs="Tahoma"/>
          <w:sz w:val="22"/>
          <w:szCs w:val="22"/>
        </w:rPr>
        <w:t>.</w:t>
      </w:r>
    </w:p>
    <w:p w:rsidR="00D67742" w:rsidRDefault="00D67742" w:rsidP="00D67742">
      <w:pPr>
        <w:spacing w:line="360" w:lineRule="auto"/>
        <w:jc w:val="both"/>
        <w:rPr>
          <w:rFonts w:ascii="Tahoma" w:hAnsi="Tahoma" w:cs="Tahoma"/>
          <w:sz w:val="22"/>
          <w:szCs w:val="22"/>
        </w:rPr>
      </w:pPr>
    </w:p>
    <w:p w:rsidR="00D67742" w:rsidRDefault="00D67742" w:rsidP="00D67742">
      <w:pPr>
        <w:pStyle w:val="FootnoteText"/>
        <w:spacing w:line="360" w:lineRule="auto"/>
        <w:jc w:val="both"/>
        <w:rPr>
          <w:rFonts w:ascii="Tahoma" w:hAnsi="Tahoma" w:cs="Tahoma"/>
          <w:b/>
          <w:sz w:val="22"/>
          <w:szCs w:val="22"/>
        </w:rPr>
      </w:pPr>
    </w:p>
    <w:p w:rsidR="00D67742" w:rsidRPr="00EC36FF" w:rsidRDefault="00D67742" w:rsidP="00D67742">
      <w:pPr>
        <w:pStyle w:val="FootnoteText"/>
        <w:spacing w:line="360" w:lineRule="auto"/>
        <w:jc w:val="both"/>
        <w:rPr>
          <w:rFonts w:ascii="Tahoma" w:hAnsi="Tahoma" w:cs="Tahoma"/>
          <w:b/>
          <w:sz w:val="22"/>
          <w:szCs w:val="22"/>
        </w:rPr>
      </w:pPr>
      <w:r w:rsidRPr="00EC36FF">
        <w:rPr>
          <w:rFonts w:ascii="Tahoma" w:hAnsi="Tahoma" w:cs="Tahoma"/>
          <w:b/>
          <w:sz w:val="22"/>
          <w:szCs w:val="22"/>
        </w:rPr>
        <w:t>2.4.4. Το status της αρχής της προφύλαξης</w:t>
      </w:r>
    </w:p>
    <w:p w:rsidR="00D67742" w:rsidRPr="00A14184" w:rsidRDefault="00D67742" w:rsidP="00905B50">
      <w:pPr>
        <w:pStyle w:val="FootnoteText"/>
        <w:spacing w:line="360" w:lineRule="auto"/>
        <w:jc w:val="both"/>
        <w:rPr>
          <w:rFonts w:ascii="Tahoma" w:hAnsi="Tahoma" w:cs="Tahoma"/>
          <w:sz w:val="22"/>
          <w:szCs w:val="22"/>
        </w:rPr>
      </w:pPr>
      <w:r>
        <w:rPr>
          <w:rFonts w:ascii="Tahoma" w:hAnsi="Tahoma" w:cs="Tahoma"/>
          <w:sz w:val="22"/>
          <w:szCs w:val="22"/>
        </w:rPr>
        <w:t xml:space="preserve">         </w:t>
      </w:r>
      <w:r w:rsidRPr="00A14184">
        <w:rPr>
          <w:rFonts w:ascii="Tahoma" w:hAnsi="Tahoma" w:cs="Tahoma"/>
          <w:sz w:val="22"/>
          <w:szCs w:val="22"/>
        </w:rPr>
        <w:t xml:space="preserve">   </w:t>
      </w:r>
    </w:p>
    <w:p w:rsidR="00D67742" w:rsidRDefault="00D67742" w:rsidP="00D67742">
      <w:pPr>
        <w:spacing w:line="360" w:lineRule="auto"/>
        <w:jc w:val="both"/>
        <w:rPr>
          <w:rFonts w:ascii="Tahoma" w:hAnsi="Tahoma" w:cs="Tahoma"/>
          <w:sz w:val="22"/>
          <w:szCs w:val="22"/>
        </w:rPr>
      </w:pPr>
      <w:r w:rsidRPr="00A14184">
        <w:rPr>
          <w:rFonts w:ascii="Tahoma" w:hAnsi="Tahoma" w:cs="Tahoma"/>
          <w:sz w:val="22"/>
          <w:szCs w:val="22"/>
        </w:rPr>
        <w:t xml:space="preserve">          Στο διεθνές δίκαιο, μέχρι πρόσφατα, δύο περιβαλλοντικές αρχές θεωρούνταν –και συνεχίζουν βεβαίως να θεωρούνται- κανόνες του εθιμικού δικαίου. Η διαδικαστική αρχή της υποχρέωσης συνεργασίας μεταξύ των κρατών για την πρόληψη των περιβαλλοντικών κινδύνων και η ουσιαστική αρχή της υποχρέωσης πρόληψης, μείωσης και ελέγχου επικείμενης και σοβαρής περιβαλλοντικής βλάβης</w:t>
      </w:r>
      <w:r w:rsidRPr="00A14184">
        <w:rPr>
          <w:rStyle w:val="FootnoteReference"/>
          <w:rFonts w:ascii="Tahoma" w:hAnsi="Tahoma" w:cs="Tahoma"/>
          <w:sz w:val="22"/>
          <w:szCs w:val="22"/>
        </w:rPr>
        <w:footnoteReference w:id="43"/>
      </w:r>
      <w:r w:rsidRPr="00A14184">
        <w:rPr>
          <w:rFonts w:ascii="Tahoma" w:hAnsi="Tahoma" w:cs="Tahoma"/>
          <w:sz w:val="22"/>
          <w:szCs w:val="22"/>
        </w:rPr>
        <w:t>. Ωστόσο, τις δύο τελευταίες δεκαετίες, υπάρχει σωρεία διεθνών Συμβάσεων, Πρωτοκόλλων και Διακηρύξεων, στις οποίες περιλαμβάνεται η αρχή της προφύλαξης</w:t>
      </w:r>
      <w:r w:rsidRPr="00A14184">
        <w:rPr>
          <w:rStyle w:val="FootnoteReference"/>
          <w:rFonts w:ascii="Tahoma" w:hAnsi="Tahoma" w:cs="Tahoma"/>
          <w:sz w:val="22"/>
          <w:szCs w:val="22"/>
        </w:rPr>
        <w:footnoteReference w:id="44"/>
      </w:r>
      <w:r w:rsidRPr="00A14184">
        <w:rPr>
          <w:rFonts w:ascii="Tahoma" w:hAnsi="Tahoma" w:cs="Tahoma"/>
          <w:sz w:val="22"/>
          <w:szCs w:val="22"/>
        </w:rPr>
        <w:t xml:space="preserve">, οπότε τίθεται εκ των πραγμάτων το ερώτημα ποιο είναι το status της αρχής στο διεθνές δίκαιο. Επειδή οι Συμβάσεις έχουν εφαρμογή μόνο inter pares, θα συγκεντρώσουμε την προσοχή μας στο ερώτημα εάν η προκείμενη αρχή έχει το status αρχής του διεθνούς εθιμικού δικαίου. </w:t>
      </w:r>
    </w:p>
    <w:p w:rsidR="00D67742" w:rsidRPr="00A14184" w:rsidRDefault="00D67742" w:rsidP="00905B50">
      <w:pPr>
        <w:spacing w:line="360" w:lineRule="auto"/>
        <w:jc w:val="both"/>
        <w:rPr>
          <w:rFonts w:ascii="Tahoma" w:hAnsi="Tahoma" w:cs="Tahoma"/>
          <w:sz w:val="22"/>
          <w:szCs w:val="22"/>
        </w:rPr>
      </w:pPr>
      <w:r>
        <w:rPr>
          <w:rFonts w:ascii="Tahoma" w:hAnsi="Tahoma" w:cs="Tahoma"/>
          <w:sz w:val="22"/>
          <w:szCs w:val="22"/>
        </w:rPr>
        <w:t xml:space="preserve">          </w:t>
      </w:r>
      <w:r w:rsidRPr="00A14184">
        <w:rPr>
          <w:rFonts w:ascii="Tahoma" w:hAnsi="Tahoma" w:cs="Tahoma"/>
          <w:sz w:val="22"/>
          <w:szCs w:val="22"/>
        </w:rPr>
        <w:t xml:space="preserve">Η συντριπτική πλειοψηφία της θεωρίας υιοθετεί την άποψη ότι πρόκειται για αρχή του διεθνούς εθιμικού δικαίου διότι πληρεί τα κριτήρια opinio </w:t>
      </w:r>
      <w:r w:rsidRPr="00A14184">
        <w:rPr>
          <w:rFonts w:ascii="Tahoma" w:hAnsi="Tahoma" w:cs="Tahoma"/>
          <w:sz w:val="22"/>
          <w:szCs w:val="22"/>
          <w:lang w:val="en-US"/>
        </w:rPr>
        <w:t>necessitates</w:t>
      </w:r>
      <w:r w:rsidRPr="00A14184">
        <w:rPr>
          <w:rFonts w:ascii="Tahoma" w:hAnsi="Tahoma" w:cs="Tahoma"/>
          <w:sz w:val="22"/>
          <w:szCs w:val="22"/>
        </w:rPr>
        <w:t xml:space="preserve"> </w:t>
      </w:r>
      <w:r w:rsidRPr="00A14184">
        <w:rPr>
          <w:rFonts w:ascii="Tahoma" w:hAnsi="Tahoma" w:cs="Tahoma"/>
          <w:sz w:val="22"/>
          <w:szCs w:val="22"/>
          <w:lang w:val="en-US"/>
        </w:rPr>
        <w:t>sive</w:t>
      </w:r>
      <w:r w:rsidRPr="00A14184">
        <w:rPr>
          <w:rFonts w:ascii="Tahoma" w:hAnsi="Tahoma" w:cs="Tahoma"/>
          <w:sz w:val="22"/>
          <w:szCs w:val="22"/>
        </w:rPr>
        <w:t xml:space="preserve"> juris και </w:t>
      </w:r>
      <w:r w:rsidRPr="00A14184">
        <w:rPr>
          <w:rFonts w:ascii="Tahoma" w:hAnsi="Tahoma" w:cs="Tahoma"/>
          <w:sz w:val="22"/>
          <w:szCs w:val="22"/>
          <w:lang w:val="en-US"/>
        </w:rPr>
        <w:t>consuetude</w:t>
      </w:r>
      <w:r w:rsidRPr="00A14184">
        <w:rPr>
          <w:rStyle w:val="FootnoteReference"/>
          <w:rFonts w:ascii="Tahoma" w:hAnsi="Tahoma" w:cs="Tahoma"/>
          <w:sz w:val="22"/>
          <w:szCs w:val="22"/>
          <w:lang w:val="en-US"/>
        </w:rPr>
        <w:footnoteReference w:id="45"/>
      </w:r>
      <w:r w:rsidRPr="00A14184">
        <w:rPr>
          <w:rFonts w:ascii="Tahoma" w:hAnsi="Tahoma" w:cs="Tahoma"/>
          <w:sz w:val="22"/>
          <w:szCs w:val="22"/>
        </w:rPr>
        <w:t>. Ωστόσο, διεθνή δικαιοδοτικά όργανα, τα οποία είχαν την ευκαιρία να λάβουν θέση στο ζήτημα  είτε δεν το έπραξαν, είτε έλαβαν θέση έμμεσα. Συγκεκριμένα, το Διεθνές Δικαστήριο της Χάγης</w:t>
      </w:r>
      <w:r w:rsidRPr="00A14184">
        <w:rPr>
          <w:rStyle w:val="FootnoteReference"/>
          <w:rFonts w:ascii="Tahoma" w:hAnsi="Tahoma" w:cs="Tahoma"/>
          <w:sz w:val="22"/>
          <w:szCs w:val="22"/>
        </w:rPr>
        <w:footnoteReference w:id="46"/>
      </w:r>
      <w:r w:rsidRPr="00A14184">
        <w:rPr>
          <w:rFonts w:ascii="Tahoma" w:hAnsi="Tahoma" w:cs="Tahoma"/>
          <w:sz w:val="22"/>
          <w:szCs w:val="22"/>
        </w:rPr>
        <w:t>, παρά το ότι ένα διάδικο μέρος έθεσε το ζήτημα, προτίμησε να το αποσιωπήσει περιοριζόμενο στην υπόδειξη ότι τα Μέρη πρέπει από κοινού να βρουν λύσεις λαμβάνοντας μέτρα προφύλαξης</w:t>
      </w:r>
      <w:r w:rsidRPr="00A14184">
        <w:rPr>
          <w:rStyle w:val="FootnoteReference"/>
          <w:rFonts w:ascii="Tahoma" w:hAnsi="Tahoma" w:cs="Tahoma"/>
          <w:sz w:val="22"/>
          <w:szCs w:val="22"/>
        </w:rPr>
        <w:footnoteReference w:id="47"/>
      </w:r>
      <w:r w:rsidRPr="00A14184">
        <w:rPr>
          <w:rFonts w:ascii="Tahoma" w:hAnsi="Tahoma" w:cs="Tahoma"/>
          <w:sz w:val="22"/>
          <w:szCs w:val="22"/>
        </w:rPr>
        <w:t xml:space="preserve"> και στην εκτίμηση ότι</w:t>
      </w:r>
      <w:r>
        <w:rPr>
          <w:rFonts w:ascii="Tahoma" w:hAnsi="Tahoma" w:cs="Tahoma"/>
          <w:sz w:val="22"/>
          <w:szCs w:val="22"/>
        </w:rPr>
        <w:t xml:space="preserve">  ‘‘</w:t>
      </w:r>
      <w:r w:rsidRPr="00A14184">
        <w:rPr>
          <w:rFonts w:ascii="Tahoma" w:hAnsi="Tahoma" w:cs="Tahoma"/>
          <w:sz w:val="22"/>
          <w:szCs w:val="22"/>
        </w:rPr>
        <w:t>οι νέοι κανόνες του δικαίου του περιβάλλοντος πρέπει να λαμβάνονται υπόψη κατά την άσκηση των δραστηριοτήτων και στη βάση των νέων αυτών κανόνων, οφείλουν τα μέρη να βρουν λύση</w:t>
      </w:r>
      <w:r>
        <w:rPr>
          <w:rFonts w:ascii="Tahoma" w:hAnsi="Tahoma" w:cs="Tahoma"/>
          <w:sz w:val="22"/>
          <w:szCs w:val="22"/>
        </w:rPr>
        <w:t>’’</w:t>
      </w:r>
      <w:r w:rsidRPr="00A14184">
        <w:rPr>
          <w:rStyle w:val="FootnoteReference"/>
          <w:rFonts w:ascii="Tahoma" w:hAnsi="Tahoma" w:cs="Tahoma"/>
          <w:sz w:val="22"/>
          <w:szCs w:val="22"/>
        </w:rPr>
        <w:footnoteReference w:id="48"/>
      </w:r>
      <w:r>
        <w:rPr>
          <w:rFonts w:ascii="Tahoma" w:hAnsi="Tahoma" w:cs="Tahoma"/>
          <w:sz w:val="22"/>
          <w:szCs w:val="22"/>
        </w:rPr>
        <w:t>.</w:t>
      </w:r>
      <w:r w:rsidRPr="00A14184">
        <w:rPr>
          <w:rFonts w:ascii="Tahoma" w:hAnsi="Tahoma" w:cs="Tahoma"/>
          <w:sz w:val="22"/>
          <w:szCs w:val="22"/>
        </w:rPr>
        <w:t xml:space="preserve">  Από τα παραπάνω προκύπτει ότι το </w:t>
      </w:r>
      <w:r w:rsidRPr="00A14184">
        <w:rPr>
          <w:rFonts w:ascii="Tahoma" w:hAnsi="Tahoma" w:cs="Tahoma"/>
          <w:sz w:val="22"/>
          <w:szCs w:val="22"/>
        </w:rPr>
        <w:lastRenderedPageBreak/>
        <w:t>δικαστήριο δεν την απορρίπτει, ωστόσο δεν αποφασίζει να την αναγνωρίσει ρητά ως αρχή του διεθνούς εθιμικού δικαίου</w:t>
      </w:r>
      <w:r w:rsidRPr="00A14184">
        <w:rPr>
          <w:rStyle w:val="FootnoteReference"/>
          <w:rFonts w:ascii="Tahoma" w:hAnsi="Tahoma" w:cs="Tahoma"/>
          <w:sz w:val="22"/>
          <w:szCs w:val="22"/>
        </w:rPr>
        <w:footnoteReference w:id="49"/>
      </w:r>
      <w:r w:rsidRPr="00A14184">
        <w:rPr>
          <w:rFonts w:ascii="Tahoma" w:hAnsi="Tahoma" w:cs="Tahoma"/>
          <w:sz w:val="22"/>
          <w:szCs w:val="22"/>
        </w:rPr>
        <w:t xml:space="preserve">. </w:t>
      </w:r>
    </w:p>
    <w:p w:rsidR="00D67742" w:rsidRPr="002E57A1" w:rsidRDefault="00905B50" w:rsidP="00905B50">
      <w:pPr>
        <w:pStyle w:val="FootnoteText"/>
        <w:spacing w:line="360" w:lineRule="auto"/>
        <w:jc w:val="both"/>
        <w:rPr>
          <w:rFonts w:ascii="Tahoma" w:hAnsi="Tahoma" w:cs="Tahoma"/>
          <w:sz w:val="22"/>
          <w:szCs w:val="22"/>
        </w:rPr>
      </w:pPr>
      <w:r>
        <w:rPr>
          <w:rFonts w:ascii="Tahoma" w:hAnsi="Tahoma" w:cs="Tahoma"/>
          <w:sz w:val="22"/>
          <w:szCs w:val="22"/>
        </w:rPr>
        <w:t xml:space="preserve">     </w:t>
      </w:r>
      <w:r w:rsidR="00D67742">
        <w:rPr>
          <w:rFonts w:ascii="Tahoma" w:hAnsi="Tahoma" w:cs="Tahoma"/>
          <w:sz w:val="22"/>
          <w:szCs w:val="22"/>
        </w:rPr>
        <w:t xml:space="preserve"> Σε</w:t>
      </w:r>
      <w:r w:rsidR="00D67742" w:rsidRPr="00A14184">
        <w:rPr>
          <w:rFonts w:ascii="Tahoma" w:hAnsi="Tahoma" w:cs="Tahoma"/>
          <w:sz w:val="22"/>
          <w:szCs w:val="22"/>
        </w:rPr>
        <w:t xml:space="preserve"> ό,τι αφορά στο status της αρχής, σύμφωνα με την Κοινοτική νομολογία, </w:t>
      </w:r>
      <w:r w:rsidR="00D67742">
        <w:rPr>
          <w:rFonts w:ascii="Tahoma" w:hAnsi="Tahoma" w:cs="Tahoma"/>
          <w:sz w:val="22"/>
          <w:szCs w:val="22"/>
        </w:rPr>
        <w:t>‘‘</w:t>
      </w:r>
      <w:r w:rsidR="00D67742" w:rsidRPr="00A14184">
        <w:rPr>
          <w:rFonts w:ascii="Tahoma" w:hAnsi="Tahoma" w:cs="Tahoma"/>
          <w:sz w:val="22"/>
          <w:szCs w:val="22"/>
        </w:rPr>
        <w:t>η αρχή της προφύλαξης  μπορεί να οριστεί ως γενική αρχή του Κοινοτικού δικαίου, η οποία υποχρεώνει τις αρμόδιες αρχές να λάβουν τα κατάλληλα μέτρα για να αποτρέπουν ορισμένους ενδεχόμενους κινδύνους για τη δημόσια υγεία, την ασφάλεια και το περιβάλλον, εξασφαλίζοντας την υπεροχή των απαιτήσεων που συνδέονται με την προστασία των συμφερόντων αυτών επί των οικονομικών συμφερόντων. Συγκεκριμένα, στο μέτρο που τα Κοινοτικά όργανα είναι υπεύθυνα, στο σύνολο των τομέων δράσης τους, για την προστασία της δημόσιας υγείας, της ασφάλειας και του περιβάλλοντος, η αρχή της προφύλαξης μπορεί να θεωρηθεί ως αυτόνομη αρχή που απορρέει από τις διατάξεις της Συνθήκης</w:t>
      </w:r>
      <w:r w:rsidR="00D67742">
        <w:rPr>
          <w:rFonts w:ascii="Tahoma" w:hAnsi="Tahoma" w:cs="Tahoma"/>
          <w:sz w:val="22"/>
          <w:szCs w:val="22"/>
        </w:rPr>
        <w:t>’’</w:t>
      </w:r>
      <w:r w:rsidR="00D67742" w:rsidRPr="00A14184">
        <w:rPr>
          <w:rStyle w:val="FootnoteReference"/>
          <w:rFonts w:ascii="Tahoma" w:hAnsi="Tahoma" w:cs="Tahoma"/>
          <w:sz w:val="22"/>
          <w:szCs w:val="22"/>
        </w:rPr>
        <w:footnoteReference w:id="50"/>
      </w:r>
      <w:r w:rsidR="00D67742">
        <w:rPr>
          <w:rFonts w:ascii="Tahoma" w:hAnsi="Tahoma" w:cs="Tahoma"/>
          <w:sz w:val="22"/>
          <w:szCs w:val="22"/>
        </w:rPr>
        <w:t>.</w:t>
      </w:r>
      <w:r w:rsidR="00D67742" w:rsidRPr="00A14184">
        <w:rPr>
          <w:rFonts w:ascii="Tahoma" w:hAnsi="Tahoma" w:cs="Tahoma"/>
          <w:sz w:val="22"/>
          <w:szCs w:val="22"/>
        </w:rPr>
        <w:t xml:space="preserve"> Τι σημαίνει όμως γενική και αυτόνομη αρχή του Κοινοτικού δικαίου; </w:t>
      </w:r>
      <w:r w:rsidR="00D67742">
        <w:rPr>
          <w:rFonts w:ascii="Tahoma" w:hAnsi="Tahoma" w:cs="Tahoma"/>
          <w:sz w:val="22"/>
          <w:szCs w:val="22"/>
        </w:rPr>
        <w:t xml:space="preserve">     </w:t>
      </w:r>
    </w:p>
    <w:p w:rsidR="00D67742" w:rsidRPr="00A14184" w:rsidRDefault="00D67742" w:rsidP="00D67742">
      <w:pPr>
        <w:pStyle w:val="FootnoteText"/>
        <w:spacing w:line="360" w:lineRule="auto"/>
        <w:jc w:val="both"/>
        <w:rPr>
          <w:rFonts w:ascii="Tahoma" w:hAnsi="Tahoma" w:cs="Tahoma"/>
          <w:sz w:val="22"/>
          <w:szCs w:val="22"/>
        </w:rPr>
      </w:pPr>
    </w:p>
    <w:p w:rsidR="00D67742" w:rsidRPr="00EC36FF" w:rsidRDefault="00D67742" w:rsidP="00D67742">
      <w:pPr>
        <w:pStyle w:val="FootnoteText"/>
        <w:spacing w:line="360" w:lineRule="auto"/>
        <w:jc w:val="both"/>
        <w:rPr>
          <w:rFonts w:ascii="Tahoma" w:hAnsi="Tahoma" w:cs="Tahoma"/>
          <w:b/>
          <w:sz w:val="22"/>
          <w:szCs w:val="22"/>
        </w:rPr>
      </w:pPr>
      <w:r w:rsidRPr="00EC36FF">
        <w:rPr>
          <w:rFonts w:ascii="Tahoma" w:hAnsi="Tahoma" w:cs="Tahoma"/>
          <w:b/>
          <w:sz w:val="22"/>
          <w:szCs w:val="22"/>
        </w:rPr>
        <w:t>2.4.5. Η αρχή της προφύλαξης στην ελληνική έννομη τάξη</w:t>
      </w:r>
    </w:p>
    <w:p w:rsidR="00D67742" w:rsidRPr="00A14184" w:rsidRDefault="00D67742" w:rsidP="00D67742">
      <w:pPr>
        <w:pStyle w:val="FootnoteText"/>
        <w:spacing w:line="360" w:lineRule="auto"/>
        <w:jc w:val="both"/>
        <w:rPr>
          <w:rFonts w:ascii="Tahoma" w:hAnsi="Tahoma" w:cs="Tahoma"/>
          <w:sz w:val="22"/>
          <w:szCs w:val="22"/>
        </w:rPr>
      </w:pPr>
    </w:p>
    <w:p w:rsidR="00D67742" w:rsidRDefault="00D67742" w:rsidP="00905B50">
      <w:pPr>
        <w:pStyle w:val="FootnoteText"/>
        <w:spacing w:line="360" w:lineRule="auto"/>
        <w:jc w:val="both"/>
        <w:rPr>
          <w:rFonts w:ascii="Tahoma" w:hAnsi="Tahoma" w:cs="Tahoma"/>
          <w:sz w:val="22"/>
          <w:szCs w:val="22"/>
        </w:rPr>
      </w:pPr>
      <w:r w:rsidRPr="00A14184">
        <w:rPr>
          <w:rFonts w:ascii="Tahoma" w:hAnsi="Tahoma" w:cs="Tahoma"/>
          <w:sz w:val="22"/>
          <w:szCs w:val="22"/>
        </w:rPr>
        <w:t xml:space="preserve">           Στη χώρα μας, η αρχή της προφύλαξης δεν περιλαμβάνεται σε εθνικές νομικές διατάξεις, πέραν εκείνων που ενσωματώνουν το κοινοτικό δίκαιο.</w:t>
      </w:r>
      <w:r>
        <w:rPr>
          <w:rFonts w:ascii="Tahoma" w:hAnsi="Tahoma" w:cs="Tahoma"/>
          <w:sz w:val="22"/>
          <w:szCs w:val="22"/>
        </w:rPr>
        <w:t xml:space="preserve"> Ωστόσο, τα δικαστήρια την εφάρμοσαν ακόμη και σε περιπτώσεις που δεν υπάγονται στην Κοινοτική νομοθεσία, ιδίως τα πολιτικά δικαστήρια (τόσο στη διαδικασία των ασφαλιστικών μέτρων όσο και στο στάδιο της κύριας δίκης). Το γεγονός αυτό έχει ιδιαίτερη σημασία δεδομένου ότι η εφαρμογή της αρχής της προφύλαξης από τα πολιτικά δικαστήρια άλλων κρατών είναι πολύ περιορισμένη</w:t>
      </w:r>
      <w:r>
        <w:rPr>
          <w:rStyle w:val="FootnoteReference"/>
          <w:rFonts w:ascii="Tahoma" w:hAnsi="Tahoma" w:cs="Tahoma"/>
          <w:sz w:val="22"/>
          <w:szCs w:val="22"/>
        </w:rPr>
        <w:footnoteReference w:id="51"/>
      </w:r>
      <w:r>
        <w:rPr>
          <w:rFonts w:ascii="Tahoma" w:hAnsi="Tahoma" w:cs="Tahoma"/>
          <w:sz w:val="22"/>
          <w:szCs w:val="22"/>
        </w:rPr>
        <w:t xml:space="preserve">. Η εξήγηση γι’ αυτή την –ευτυχή- ελληνική ‘ιδιαιτερότητα’ μπορεί να αναζητηθεί στην εγχώρια θεωρητική επεξεργασία των προληπτικών μηχανισμών του αστικού δικαίου, η οποία καλλιέργησε το έδαφος για την ένταξη της αρχής στους παραπάνω μηχανισμούς. </w:t>
      </w:r>
    </w:p>
    <w:p w:rsidR="00905B50" w:rsidRPr="00A14184" w:rsidRDefault="00905B50" w:rsidP="00905B50">
      <w:pPr>
        <w:pStyle w:val="FootnoteText"/>
        <w:spacing w:line="360" w:lineRule="auto"/>
        <w:jc w:val="both"/>
        <w:rPr>
          <w:rFonts w:ascii="Tahoma" w:hAnsi="Tahoma" w:cs="Tahoma"/>
          <w:sz w:val="22"/>
          <w:szCs w:val="22"/>
        </w:rPr>
      </w:pPr>
    </w:p>
    <w:p w:rsidR="00D67742" w:rsidRPr="00EC36FF" w:rsidRDefault="00D67742" w:rsidP="00D67742">
      <w:pPr>
        <w:pStyle w:val="FootnoteText"/>
        <w:spacing w:line="360" w:lineRule="auto"/>
        <w:jc w:val="both"/>
        <w:rPr>
          <w:rFonts w:ascii="Tahoma" w:hAnsi="Tahoma" w:cs="Tahoma"/>
          <w:b/>
          <w:sz w:val="22"/>
          <w:szCs w:val="22"/>
        </w:rPr>
      </w:pPr>
      <w:r w:rsidRPr="00A14184">
        <w:rPr>
          <w:rFonts w:ascii="Tahoma" w:hAnsi="Tahoma" w:cs="Tahoma"/>
          <w:sz w:val="22"/>
          <w:szCs w:val="22"/>
        </w:rPr>
        <w:t xml:space="preserve">  </w:t>
      </w:r>
      <w:r w:rsidRPr="00EC36FF">
        <w:rPr>
          <w:rFonts w:ascii="Tahoma" w:hAnsi="Tahoma" w:cs="Tahoma"/>
          <w:b/>
          <w:sz w:val="22"/>
          <w:szCs w:val="22"/>
        </w:rPr>
        <w:t xml:space="preserve">2.4.6. </w:t>
      </w:r>
      <w:r>
        <w:rPr>
          <w:rFonts w:ascii="Tahoma" w:hAnsi="Tahoma" w:cs="Tahoma"/>
          <w:b/>
          <w:sz w:val="22"/>
          <w:szCs w:val="22"/>
        </w:rPr>
        <w:t>Αποτίμηση και δυναμική της αρχής της προφύλαξης</w:t>
      </w:r>
    </w:p>
    <w:p w:rsidR="00D67742" w:rsidRPr="00A14184" w:rsidRDefault="00D67742" w:rsidP="00D67742">
      <w:pPr>
        <w:pStyle w:val="FootnoteText"/>
        <w:spacing w:line="360" w:lineRule="auto"/>
        <w:jc w:val="both"/>
        <w:rPr>
          <w:rFonts w:ascii="Tahoma" w:hAnsi="Tahoma" w:cs="Tahoma"/>
          <w:sz w:val="22"/>
          <w:szCs w:val="22"/>
        </w:rPr>
      </w:pPr>
    </w:p>
    <w:p w:rsidR="00D67742" w:rsidRDefault="00D67742" w:rsidP="00D67742">
      <w:pPr>
        <w:pStyle w:val="FootnoteText"/>
        <w:spacing w:line="360" w:lineRule="auto"/>
        <w:jc w:val="both"/>
        <w:rPr>
          <w:rFonts w:ascii="Tahoma" w:hAnsi="Tahoma" w:cs="Tahoma"/>
          <w:sz w:val="22"/>
          <w:szCs w:val="22"/>
        </w:rPr>
      </w:pPr>
      <w:r>
        <w:rPr>
          <w:rFonts w:ascii="Tahoma" w:hAnsi="Tahoma" w:cs="Tahoma"/>
          <w:sz w:val="22"/>
          <w:szCs w:val="22"/>
        </w:rPr>
        <w:t xml:space="preserve">        Τ</w:t>
      </w:r>
      <w:r w:rsidRPr="00A14184">
        <w:rPr>
          <w:rFonts w:ascii="Tahoma" w:hAnsi="Tahoma" w:cs="Tahoma"/>
          <w:sz w:val="22"/>
          <w:szCs w:val="22"/>
        </w:rPr>
        <w:t xml:space="preserve">α όσα εκτέθηκαν παραπάνω, </w:t>
      </w:r>
      <w:r>
        <w:rPr>
          <w:rFonts w:ascii="Tahoma" w:hAnsi="Tahoma" w:cs="Tahoma"/>
          <w:sz w:val="22"/>
          <w:szCs w:val="22"/>
        </w:rPr>
        <w:t>μας επιτρέπουν</w:t>
      </w:r>
      <w:r w:rsidRPr="00A14184">
        <w:rPr>
          <w:rFonts w:ascii="Tahoma" w:hAnsi="Tahoma" w:cs="Tahoma"/>
          <w:sz w:val="22"/>
          <w:szCs w:val="22"/>
        </w:rPr>
        <w:t xml:space="preserve"> να προβούμε σε μερικές καταληκτικές </w:t>
      </w:r>
      <w:r>
        <w:rPr>
          <w:rFonts w:ascii="Tahoma" w:hAnsi="Tahoma" w:cs="Tahoma"/>
          <w:sz w:val="22"/>
          <w:szCs w:val="22"/>
        </w:rPr>
        <w:t>παρατηρήσεις</w:t>
      </w:r>
      <w:r w:rsidRPr="00A14184">
        <w:rPr>
          <w:rFonts w:ascii="Tahoma" w:hAnsi="Tahoma" w:cs="Tahoma"/>
          <w:sz w:val="22"/>
          <w:szCs w:val="22"/>
        </w:rPr>
        <w:t>. Πρώτον, η αρχή της προφύλαξης φέρει στο πεδίο της νομικής συζήτησης, τόσο την επιστήμη όσο και άλλους παράγοντες</w:t>
      </w:r>
      <w:r w:rsidRPr="00A14184">
        <w:rPr>
          <w:rStyle w:val="FootnoteReference"/>
          <w:rFonts w:ascii="Tahoma" w:hAnsi="Tahoma" w:cs="Tahoma"/>
          <w:sz w:val="22"/>
          <w:szCs w:val="22"/>
        </w:rPr>
        <w:footnoteReference w:id="52"/>
      </w:r>
      <w:r w:rsidRPr="00A14184">
        <w:rPr>
          <w:rFonts w:ascii="Tahoma" w:hAnsi="Tahoma" w:cs="Tahoma"/>
          <w:sz w:val="22"/>
          <w:szCs w:val="22"/>
        </w:rPr>
        <w:t>, διότι ο χαρακτήρας των σύγχρονων περιβαλλοντικών κινδύνων υπερβαίνει τη δυνατότητα της επιστήμης να τους αξιολογήσει με βεβαιότητα. Επομένως, διάφοροι κοινωνικοί, πολιτιστικοί, ηθικοί και πολιτικοί παράγοντες, διαδραματίζουν σημαντικό ρόλο στην εκτίμηση και στη διαχείρισή τους</w:t>
      </w:r>
      <w:r w:rsidRPr="00A14184">
        <w:rPr>
          <w:rStyle w:val="FootnoteReference"/>
          <w:rFonts w:ascii="Tahoma" w:hAnsi="Tahoma" w:cs="Tahoma"/>
          <w:sz w:val="22"/>
          <w:szCs w:val="22"/>
        </w:rPr>
        <w:footnoteReference w:id="53"/>
      </w:r>
      <w:r w:rsidRPr="00A14184">
        <w:rPr>
          <w:rFonts w:ascii="Tahoma" w:hAnsi="Tahoma" w:cs="Tahoma"/>
          <w:sz w:val="22"/>
          <w:szCs w:val="22"/>
        </w:rPr>
        <w:t>. Αυτό σημαίνει ότι ριζοσπαστικοποιείται η διαδικασία λήψης των αποφάσεων, ανάγοντας τη διαβούλευση με το κοινό - ως εκφραστή των παραπάνω παραγόντων- σε καθοριστική συνιστώσα της. Με άλλες λέξεις, οι τεχνικές και επιστημονικές παράμετροι των κινδύνων, χάνουν την αυτόνομη υπόστασή τους και μετεξελίσσονται σε υβρίδια -με την έννοια που προσέδωσε σε αυτά ο Bruno Latour-</w:t>
      </w:r>
      <w:r w:rsidRPr="00A14184">
        <w:rPr>
          <w:rStyle w:val="FootnoteReference"/>
          <w:rFonts w:ascii="Tahoma" w:hAnsi="Tahoma" w:cs="Tahoma"/>
          <w:sz w:val="22"/>
          <w:szCs w:val="22"/>
        </w:rPr>
        <w:footnoteReference w:id="54"/>
      </w:r>
      <w:r w:rsidRPr="00A14184">
        <w:rPr>
          <w:rFonts w:ascii="Tahoma" w:hAnsi="Tahoma" w:cs="Tahoma"/>
          <w:sz w:val="22"/>
          <w:szCs w:val="22"/>
        </w:rPr>
        <w:t xml:space="preserve"> τα οποία συγκροτούνται ως φυσικές και, ταυτόχρονα, πολιτικο-νομικές οντότητες, έτσι ώστε να προσφεύγουμε στην ποιοτική έννοια του αποδεκτού κινδύνου. Ο τελευταίος ταυτίζεται με το υψηλό επίπεδο προστασίας του περιβάλλοντος και της ανθρώπινης υγείας, όπ</w:t>
      </w:r>
      <w:r>
        <w:rPr>
          <w:rFonts w:ascii="Tahoma" w:hAnsi="Tahoma" w:cs="Tahoma"/>
          <w:sz w:val="22"/>
          <w:szCs w:val="22"/>
        </w:rPr>
        <w:t>ως προκύπτει από τα άρθρα 2, 95(3), 152(1), 153 και 174</w:t>
      </w:r>
      <w:r w:rsidRPr="00A14184">
        <w:rPr>
          <w:rFonts w:ascii="Tahoma" w:hAnsi="Tahoma" w:cs="Tahoma"/>
          <w:sz w:val="22"/>
          <w:szCs w:val="22"/>
        </w:rPr>
        <w:t>(2) της Σ</w:t>
      </w:r>
      <w:r>
        <w:rPr>
          <w:rFonts w:ascii="Tahoma" w:hAnsi="Tahoma" w:cs="Tahoma"/>
          <w:sz w:val="22"/>
          <w:szCs w:val="22"/>
        </w:rPr>
        <w:t>υνθΕ</w:t>
      </w:r>
      <w:r w:rsidRPr="00A14184">
        <w:rPr>
          <w:rFonts w:ascii="Tahoma" w:hAnsi="Tahoma" w:cs="Tahoma"/>
          <w:sz w:val="22"/>
          <w:szCs w:val="22"/>
        </w:rPr>
        <w:t>Κ. Η σχέση λοιπόν η οποία δομείται μεταξύ του αποδεκτού κινδύνου και της έλλειψης οριστικής απόδειξης σχετικά με την αιτιώδη συνάφεια επιβάλλει την εφαρμογή της αρχής της προφύλαξης, ώστε να επιτευχθεί ο στόχος του επιθυμητού επιπέδου προστασίας του περιβάλλοντος και της υγείας του ανθρώπου</w:t>
      </w:r>
      <w:r w:rsidRPr="00A14184">
        <w:rPr>
          <w:rStyle w:val="FootnoteReference"/>
          <w:rFonts w:ascii="Tahoma" w:hAnsi="Tahoma" w:cs="Tahoma"/>
          <w:sz w:val="22"/>
          <w:szCs w:val="22"/>
        </w:rPr>
        <w:footnoteReference w:id="55"/>
      </w:r>
      <w:r w:rsidRPr="00A14184">
        <w:rPr>
          <w:rFonts w:ascii="Tahoma" w:hAnsi="Tahoma" w:cs="Tahoma"/>
          <w:sz w:val="22"/>
          <w:szCs w:val="22"/>
        </w:rPr>
        <w:t>. Το κριτήριο δηλαδή για τη λήψη απόφασης σε συνθήκες επιστημονικής αβεβαιότητας, πρέπει να ενσωματώνει την αρχή της προφύλαξης, διότι σε διαφορετική περίπτωση, δεν μπορεί να επιτευχθεί ο παραπάνω στόχος</w:t>
      </w:r>
      <w:r w:rsidRPr="00A14184">
        <w:rPr>
          <w:rStyle w:val="FootnoteReference"/>
          <w:rFonts w:ascii="Tahoma" w:hAnsi="Tahoma" w:cs="Tahoma"/>
          <w:sz w:val="22"/>
          <w:szCs w:val="22"/>
        </w:rPr>
        <w:footnoteReference w:id="56"/>
      </w:r>
      <w:r w:rsidRPr="00A14184">
        <w:rPr>
          <w:rFonts w:ascii="Tahoma" w:hAnsi="Tahoma" w:cs="Tahoma"/>
          <w:sz w:val="22"/>
          <w:szCs w:val="22"/>
        </w:rPr>
        <w:t xml:space="preserve">. </w:t>
      </w:r>
    </w:p>
    <w:p w:rsidR="00D67742" w:rsidRPr="00A14184" w:rsidRDefault="00D67742" w:rsidP="00D67742">
      <w:pPr>
        <w:pStyle w:val="FootnoteText"/>
        <w:spacing w:line="360" w:lineRule="auto"/>
        <w:jc w:val="both"/>
        <w:rPr>
          <w:rFonts w:ascii="Tahoma" w:hAnsi="Tahoma" w:cs="Tahoma"/>
          <w:sz w:val="22"/>
          <w:szCs w:val="22"/>
        </w:rPr>
      </w:pPr>
      <w:r>
        <w:rPr>
          <w:rFonts w:ascii="Tahoma" w:hAnsi="Tahoma" w:cs="Tahoma"/>
          <w:sz w:val="22"/>
          <w:szCs w:val="22"/>
        </w:rPr>
        <w:t xml:space="preserve">         Δεύτερον, στο Κοινοτικό δίκαιο οι προϋποθέσεις εφαρμογής και το περιεχόμενο της αρχής της προφύλαξης έχουν αποσαφηνιστεί σε σημαντικό βαθμό</w:t>
      </w:r>
      <w:r>
        <w:rPr>
          <w:rStyle w:val="FootnoteReference"/>
          <w:rFonts w:ascii="Tahoma" w:hAnsi="Tahoma" w:cs="Tahoma"/>
          <w:sz w:val="22"/>
          <w:szCs w:val="22"/>
        </w:rPr>
        <w:footnoteReference w:id="57"/>
      </w:r>
      <w:r>
        <w:rPr>
          <w:rFonts w:ascii="Tahoma" w:hAnsi="Tahoma" w:cs="Tahoma"/>
          <w:sz w:val="22"/>
          <w:szCs w:val="22"/>
        </w:rPr>
        <w:t>, παρά την αργή νομολογιακή ωρίμανσή της</w:t>
      </w:r>
      <w:r>
        <w:rPr>
          <w:rStyle w:val="FootnoteReference"/>
          <w:rFonts w:ascii="Tahoma" w:hAnsi="Tahoma" w:cs="Tahoma"/>
          <w:sz w:val="22"/>
          <w:szCs w:val="22"/>
        </w:rPr>
        <w:footnoteReference w:id="58"/>
      </w:r>
      <w:r>
        <w:rPr>
          <w:rFonts w:ascii="Tahoma" w:hAnsi="Tahoma" w:cs="Tahoma"/>
          <w:sz w:val="22"/>
          <w:szCs w:val="22"/>
        </w:rPr>
        <w:t xml:space="preserve">. Η λήψη προφυλακτικών μέτρων επιβάλλεται όταν υπάρχουν επιστημονικές αβεβαιότητες σχετικά με την ύπαρξη, το περιεχόμενο, τη βαρύτητα ή/και τη μη αναστρεψιμότητα των κινδύνων βλάβης. Επί πλέον, τα </w:t>
      </w:r>
      <w:r>
        <w:rPr>
          <w:rFonts w:ascii="Tahoma" w:hAnsi="Tahoma" w:cs="Tahoma"/>
          <w:sz w:val="22"/>
          <w:szCs w:val="22"/>
        </w:rPr>
        <w:lastRenderedPageBreak/>
        <w:t>προφυλακτικά μέτρα πρέπει να σέβονται την αρχή της αναλογικότητας, μπορούν δε να εκτείνονται από την υποχρέωση διεξαγωγής ερευνών μέχρι την επιβολή εμπάργκο ή την απόσυρση προϊόντων από την αγορά</w:t>
      </w:r>
      <w:r>
        <w:rPr>
          <w:rStyle w:val="FootnoteReference"/>
          <w:rFonts w:ascii="Tahoma" w:hAnsi="Tahoma" w:cs="Tahoma"/>
          <w:sz w:val="22"/>
          <w:szCs w:val="22"/>
        </w:rPr>
        <w:footnoteReference w:id="59"/>
      </w:r>
      <w:r>
        <w:rPr>
          <w:rFonts w:ascii="Tahoma" w:hAnsi="Tahoma" w:cs="Tahoma"/>
          <w:sz w:val="22"/>
          <w:szCs w:val="22"/>
        </w:rPr>
        <w:t>.</w:t>
      </w:r>
    </w:p>
    <w:p w:rsidR="00D67742" w:rsidRPr="00A14184" w:rsidRDefault="00D67742" w:rsidP="00D67742">
      <w:pPr>
        <w:pStyle w:val="FootnoteText"/>
        <w:spacing w:line="360" w:lineRule="auto"/>
        <w:jc w:val="both"/>
        <w:rPr>
          <w:rFonts w:ascii="Tahoma" w:hAnsi="Tahoma" w:cs="Tahoma"/>
          <w:sz w:val="22"/>
          <w:szCs w:val="22"/>
        </w:rPr>
      </w:pPr>
      <w:r>
        <w:rPr>
          <w:rFonts w:ascii="Tahoma" w:hAnsi="Tahoma" w:cs="Tahoma"/>
          <w:sz w:val="22"/>
          <w:szCs w:val="22"/>
        </w:rPr>
        <w:t xml:space="preserve">         Τρίτον</w:t>
      </w:r>
      <w:r w:rsidRPr="00A14184">
        <w:rPr>
          <w:rFonts w:ascii="Tahoma" w:hAnsi="Tahoma" w:cs="Tahoma"/>
          <w:sz w:val="22"/>
          <w:szCs w:val="22"/>
        </w:rPr>
        <w:t>, η αρχή της προφύλαξης αφήνει ευρέα περιθώρια δράσης στα αρμόδια όργανα για τη λήψη προστατευτικών μέτρων.</w:t>
      </w:r>
      <w:r w:rsidRPr="00A14184">
        <w:rPr>
          <w:rStyle w:val="FootnoteReference"/>
          <w:rFonts w:ascii="Tahoma" w:hAnsi="Tahoma" w:cs="Tahoma"/>
          <w:sz w:val="22"/>
          <w:szCs w:val="22"/>
        </w:rPr>
        <w:footnoteReference w:id="60"/>
      </w:r>
      <w:r w:rsidRPr="00A14184">
        <w:rPr>
          <w:rFonts w:ascii="Tahoma" w:hAnsi="Tahoma" w:cs="Tahoma"/>
          <w:sz w:val="22"/>
          <w:szCs w:val="22"/>
        </w:rPr>
        <w:t xml:space="preserve"> Γι’</w:t>
      </w:r>
      <w:r>
        <w:rPr>
          <w:rFonts w:ascii="Tahoma" w:hAnsi="Tahoma" w:cs="Tahoma"/>
          <w:sz w:val="22"/>
          <w:szCs w:val="22"/>
        </w:rPr>
        <w:t xml:space="preserve"> </w:t>
      </w:r>
      <w:r w:rsidRPr="00A14184">
        <w:rPr>
          <w:rFonts w:ascii="Tahoma" w:hAnsi="Tahoma" w:cs="Tahoma"/>
          <w:sz w:val="22"/>
          <w:szCs w:val="22"/>
        </w:rPr>
        <w:t>αυτό το λόγο, σύμφωνα με τη νομολογία, ο δικαστικός έλεγχος περιορίζεται στο προφανές λάθος εκτίμησης ή στην κατάχρηση εξουσίας ή στην υπέρβαση των ορίων της διακριτικής ευχέρειας</w:t>
      </w:r>
      <w:r w:rsidRPr="00A14184">
        <w:rPr>
          <w:rStyle w:val="FootnoteReference"/>
          <w:rFonts w:ascii="Tahoma" w:hAnsi="Tahoma" w:cs="Tahoma"/>
          <w:sz w:val="22"/>
          <w:szCs w:val="22"/>
        </w:rPr>
        <w:footnoteReference w:id="61"/>
      </w:r>
      <w:r w:rsidRPr="00A14184">
        <w:rPr>
          <w:rFonts w:ascii="Tahoma" w:hAnsi="Tahoma" w:cs="Tahoma"/>
          <w:sz w:val="22"/>
          <w:szCs w:val="22"/>
        </w:rPr>
        <w:t>. Ωστόσο, δύο παρατηρήσεις είναι αναγκαίες: α) Παρά την ως άνω επισήμανση του Δικαστηρίου, ο δικαστικός έλεγχος ήταν εξαντλητικός, όπως προκύπτει από την εκτεταμένη αναφορά</w:t>
      </w:r>
      <w:r>
        <w:rPr>
          <w:rFonts w:ascii="Tahoma" w:hAnsi="Tahoma" w:cs="Tahoma"/>
          <w:sz w:val="22"/>
          <w:szCs w:val="22"/>
        </w:rPr>
        <w:t xml:space="preserve"> που έκανε</w:t>
      </w:r>
      <w:r w:rsidRPr="00A14184">
        <w:rPr>
          <w:rFonts w:ascii="Tahoma" w:hAnsi="Tahoma" w:cs="Tahoma"/>
          <w:sz w:val="22"/>
          <w:szCs w:val="22"/>
        </w:rPr>
        <w:t xml:space="preserve"> στα ζητήματα ουσίας</w:t>
      </w:r>
      <w:r w:rsidRPr="00A14184">
        <w:rPr>
          <w:rStyle w:val="FootnoteReference"/>
          <w:rFonts w:ascii="Tahoma" w:hAnsi="Tahoma" w:cs="Tahoma"/>
          <w:sz w:val="22"/>
          <w:szCs w:val="22"/>
        </w:rPr>
        <w:footnoteReference w:id="62"/>
      </w:r>
      <w:r w:rsidRPr="00A14184">
        <w:rPr>
          <w:rFonts w:ascii="Tahoma" w:hAnsi="Tahoma" w:cs="Tahoma"/>
          <w:sz w:val="22"/>
          <w:szCs w:val="22"/>
        </w:rPr>
        <w:t>. β) Παρά την ευρεία διακριτική ευχέρεια των αρμόδιων οργάνων, αυτή πρέπει να κατατείνει στη, νομικά δεσμευτική, εξασφάλιση υψηλού επιπέδου προστασίας του περιβάλλοντος, της δημόσιας υγείας και των καταναλωτών</w:t>
      </w:r>
      <w:r w:rsidRPr="00A14184">
        <w:rPr>
          <w:rStyle w:val="FootnoteReference"/>
          <w:rFonts w:ascii="Tahoma" w:hAnsi="Tahoma" w:cs="Tahoma"/>
          <w:sz w:val="22"/>
          <w:szCs w:val="22"/>
        </w:rPr>
        <w:footnoteReference w:id="63"/>
      </w:r>
      <w:r w:rsidRPr="00A14184">
        <w:rPr>
          <w:rFonts w:ascii="Tahoma" w:hAnsi="Tahoma" w:cs="Tahoma"/>
          <w:sz w:val="22"/>
          <w:szCs w:val="22"/>
        </w:rPr>
        <w:t>.</w:t>
      </w:r>
    </w:p>
    <w:p w:rsidR="00D67742" w:rsidRPr="00A14184" w:rsidRDefault="00D67742" w:rsidP="00D67742">
      <w:pPr>
        <w:pStyle w:val="FootnoteText"/>
        <w:spacing w:line="360" w:lineRule="auto"/>
        <w:jc w:val="both"/>
        <w:rPr>
          <w:rFonts w:ascii="Tahoma" w:hAnsi="Tahoma" w:cs="Tahoma"/>
          <w:sz w:val="22"/>
          <w:szCs w:val="22"/>
        </w:rPr>
      </w:pPr>
      <w:r>
        <w:rPr>
          <w:rFonts w:ascii="Tahoma" w:hAnsi="Tahoma" w:cs="Tahoma"/>
          <w:sz w:val="22"/>
          <w:szCs w:val="22"/>
        </w:rPr>
        <w:t xml:space="preserve">         Τέταρτον</w:t>
      </w:r>
      <w:r w:rsidRPr="00A14184">
        <w:rPr>
          <w:rFonts w:ascii="Tahoma" w:hAnsi="Tahoma" w:cs="Tahoma"/>
          <w:sz w:val="22"/>
          <w:szCs w:val="22"/>
        </w:rPr>
        <w:t>, φαίνεται ότι η δυναμική της αρχής της προφύλαξης δεν έχει εξαντληθεί από τους θεσμούς της Ε.Ε</w:t>
      </w:r>
      <w:r w:rsidRPr="00A14184">
        <w:rPr>
          <w:rStyle w:val="FootnoteReference"/>
          <w:rFonts w:ascii="Tahoma" w:hAnsi="Tahoma" w:cs="Tahoma"/>
          <w:sz w:val="22"/>
          <w:szCs w:val="22"/>
        </w:rPr>
        <w:footnoteReference w:id="64"/>
      </w:r>
      <w:r w:rsidRPr="00A14184">
        <w:rPr>
          <w:rFonts w:ascii="Tahoma" w:hAnsi="Tahoma" w:cs="Tahoma"/>
          <w:sz w:val="22"/>
          <w:szCs w:val="22"/>
        </w:rPr>
        <w:t>, διότι εξακολουθούν να προσεγγίζουν τα ζητήματα της προστασίας του περιβάλλοντος, της ανθρώπινης υγείας και των καταναλωτών με βάση την ως άνω αρχή</w:t>
      </w:r>
      <w:r w:rsidRPr="00A14184">
        <w:rPr>
          <w:rStyle w:val="FootnoteReference"/>
          <w:rFonts w:ascii="Tahoma" w:hAnsi="Tahoma" w:cs="Tahoma"/>
          <w:sz w:val="22"/>
          <w:szCs w:val="22"/>
        </w:rPr>
        <w:footnoteReference w:id="65"/>
      </w:r>
      <w:r w:rsidRPr="00A14184">
        <w:rPr>
          <w:rFonts w:ascii="Tahoma" w:hAnsi="Tahoma" w:cs="Tahoma"/>
          <w:sz w:val="22"/>
          <w:szCs w:val="22"/>
        </w:rPr>
        <w:t xml:space="preserve">. Ωστόσο, δημιουργείται μια αντίρροπη </w:t>
      </w:r>
      <w:r w:rsidRPr="00A14184">
        <w:rPr>
          <w:rFonts w:ascii="Tahoma" w:hAnsi="Tahoma" w:cs="Tahoma"/>
          <w:sz w:val="22"/>
          <w:szCs w:val="22"/>
        </w:rPr>
        <w:lastRenderedPageBreak/>
        <w:t>τάση μέσω των νέων αντιλήψεων για την Ευρωπαϊκή Διακυβέρνηση</w:t>
      </w:r>
      <w:r w:rsidRPr="00A14184">
        <w:rPr>
          <w:rStyle w:val="FootnoteReference"/>
          <w:rFonts w:ascii="Tahoma" w:hAnsi="Tahoma" w:cs="Tahoma"/>
          <w:sz w:val="22"/>
          <w:szCs w:val="22"/>
        </w:rPr>
        <w:footnoteReference w:id="66"/>
      </w:r>
      <w:r w:rsidRPr="00A14184">
        <w:rPr>
          <w:rFonts w:ascii="Tahoma" w:hAnsi="Tahoma" w:cs="Tahoma"/>
          <w:sz w:val="22"/>
          <w:szCs w:val="22"/>
        </w:rPr>
        <w:t>. Η τελευταία, στηριζόμενη στην αξιολόγηση του αντικτύπου των ρυθμίσεων, εισάγει την παράμετρο του κόστους/οφέλους και οδηγεί σε μια προϊούσα απορρύθμιση</w:t>
      </w:r>
      <w:r w:rsidRPr="00A14184">
        <w:rPr>
          <w:rStyle w:val="FootnoteReference"/>
          <w:rFonts w:ascii="Tahoma" w:hAnsi="Tahoma" w:cs="Tahoma"/>
          <w:sz w:val="22"/>
          <w:szCs w:val="22"/>
        </w:rPr>
        <w:footnoteReference w:id="67"/>
      </w:r>
      <w:r w:rsidRPr="00A14184">
        <w:rPr>
          <w:rFonts w:ascii="Tahoma" w:hAnsi="Tahoma" w:cs="Tahoma"/>
          <w:sz w:val="22"/>
          <w:szCs w:val="22"/>
        </w:rPr>
        <w:t>. Αυτό, όπως είναι προφανές, τείνει στην απομείωση της κανονιστικής εμβέλειας της αρχής της προφύλαξης</w:t>
      </w:r>
      <w:r w:rsidRPr="00A14184">
        <w:rPr>
          <w:rStyle w:val="FootnoteReference"/>
          <w:rFonts w:ascii="Tahoma" w:hAnsi="Tahoma" w:cs="Tahoma"/>
          <w:sz w:val="22"/>
          <w:szCs w:val="22"/>
        </w:rPr>
        <w:footnoteReference w:id="68"/>
      </w:r>
      <w:r w:rsidRPr="00A14184">
        <w:rPr>
          <w:rFonts w:ascii="Tahoma" w:hAnsi="Tahoma" w:cs="Tahoma"/>
          <w:sz w:val="22"/>
          <w:szCs w:val="22"/>
        </w:rPr>
        <w:t>. Το ποια θα είναι η κατάληξη αυτής της διαφαινόμενης αντίθεσης δεν είναι δυνατόν να την προδικάσει κανείς, καθώς συνδέεται, σωρευτικά, με την πολιτική της Ε.Ε., κυρίως στις διεθνείς εμπορικές σχέσεις, με την επεξεργασία της από τα εθνικά δικαστήρια, με την παρέμβαση των πολιτών στην επεξεργασία και εφαρμογή των ρυθμίσεων και, τέλος, με τους πιθανούς μελλοντικούς κινδύνους (άλλωστε, οι διατροφικές κρίσεις στο παρελθόν, όπως αυτή της νόσου των ‘‘τρελών αγελάδων’’, επέδρασαν καταλυτικά στην κανονιστική ενδυνάμωση της αρχής).</w:t>
      </w:r>
    </w:p>
    <w:p w:rsidR="00D67742" w:rsidRPr="00A14184" w:rsidRDefault="00D67742" w:rsidP="00D67742">
      <w:pPr>
        <w:pStyle w:val="FootnoteText"/>
        <w:spacing w:line="360" w:lineRule="auto"/>
        <w:jc w:val="both"/>
        <w:rPr>
          <w:rFonts w:ascii="Tahoma" w:hAnsi="Tahoma" w:cs="Tahoma"/>
          <w:sz w:val="22"/>
          <w:szCs w:val="22"/>
        </w:rPr>
      </w:pPr>
    </w:p>
    <w:sectPr w:rsidR="00D67742" w:rsidRPr="00A14184" w:rsidSect="007927CB">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96B" w:rsidRDefault="003E496B" w:rsidP="00D67742">
      <w:r>
        <w:separator/>
      </w:r>
    </w:p>
  </w:endnote>
  <w:endnote w:type="continuationSeparator" w:id="0">
    <w:p w:rsidR="003E496B" w:rsidRDefault="003E496B" w:rsidP="00D6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96B" w:rsidRDefault="003E496B" w:rsidP="00D67742">
      <w:r>
        <w:separator/>
      </w:r>
    </w:p>
  </w:footnote>
  <w:footnote w:type="continuationSeparator" w:id="0">
    <w:p w:rsidR="003E496B" w:rsidRDefault="003E496B" w:rsidP="00D67742">
      <w:r>
        <w:continuationSeparator/>
      </w:r>
    </w:p>
  </w:footnote>
  <w:footnote w:id="1">
    <w:p w:rsidR="00892E1A" w:rsidRDefault="00892E1A" w:rsidP="00D67742">
      <w:pPr>
        <w:pStyle w:val="FootnoteText"/>
        <w:jc w:val="both"/>
        <w:rPr>
          <w:rFonts w:ascii="Tahoma" w:hAnsi="Tahoma" w:cs="Tahoma"/>
        </w:rPr>
      </w:pPr>
      <w:r>
        <w:rPr>
          <w:rFonts w:ascii="Tahoma" w:hAnsi="Tahoma" w:cs="Tahoma"/>
        </w:rPr>
        <w:t>*Το παρόν κείμενο είναι απόσπασμα από το βιβλίο του Γιώργου Μπάλια, Η Αρχή της Προφύλαξης, Αθήνα, εκδ. Αντ.Ν. Σάκκουλα, 2005.</w:t>
      </w:r>
      <w:bookmarkStart w:id="0" w:name="_GoBack"/>
      <w:bookmarkEnd w:id="0"/>
    </w:p>
    <w:p w:rsidR="00D67742" w:rsidRPr="00A14184" w:rsidRDefault="00D67742" w:rsidP="00D67742">
      <w:pPr>
        <w:pStyle w:val="FootnoteText"/>
        <w:jc w:val="both"/>
        <w:rPr>
          <w:rFonts w:ascii="Tahoma" w:hAnsi="Tahoma" w:cs="Tahoma"/>
          <w:lang w:val="fr-FR"/>
        </w:rPr>
      </w:pPr>
      <w:r w:rsidRPr="00A14184">
        <w:rPr>
          <w:rStyle w:val="FootnoteReference"/>
          <w:rFonts w:ascii="Tahoma" w:hAnsi="Tahoma" w:cs="Tahoma"/>
        </w:rPr>
        <w:footnoteRef/>
      </w:r>
      <w:r w:rsidRPr="00D67742">
        <w:rPr>
          <w:rFonts w:ascii="Tahoma" w:hAnsi="Tahoma" w:cs="Tahoma"/>
          <w:lang w:val="en-US"/>
        </w:rPr>
        <w:t xml:space="preserve"> </w:t>
      </w:r>
      <w:r w:rsidRPr="00D67742">
        <w:rPr>
          <w:rFonts w:ascii="Tahoma" w:hAnsi="Tahoma" w:cs="Tahoma"/>
          <w:i/>
          <w:lang w:val="en-US"/>
        </w:rPr>
        <w:t>N. de Sadeleer</w:t>
      </w:r>
      <w:r w:rsidRPr="00D67742">
        <w:rPr>
          <w:rFonts w:ascii="Tahoma" w:hAnsi="Tahoma" w:cs="Tahoma"/>
          <w:lang w:val="en-US"/>
        </w:rPr>
        <w:t xml:space="preserve">, “Environmental principles, modern and post-modern law” </w:t>
      </w:r>
      <w:r w:rsidRPr="00A14184">
        <w:rPr>
          <w:rFonts w:ascii="Tahoma" w:hAnsi="Tahoma" w:cs="Tahoma"/>
        </w:rPr>
        <w:t>ό</w:t>
      </w:r>
      <w:r w:rsidRPr="00D67742">
        <w:rPr>
          <w:rFonts w:ascii="Tahoma" w:hAnsi="Tahoma" w:cs="Tahoma"/>
          <w:lang w:val="en-US"/>
        </w:rPr>
        <w:t>.</w:t>
      </w:r>
      <w:r w:rsidRPr="00A14184">
        <w:rPr>
          <w:rFonts w:ascii="Tahoma" w:hAnsi="Tahoma" w:cs="Tahoma"/>
        </w:rPr>
        <w:t>π</w:t>
      </w:r>
      <w:r w:rsidRPr="00D67742">
        <w:rPr>
          <w:rFonts w:ascii="Tahoma" w:hAnsi="Tahoma" w:cs="Tahoma"/>
          <w:lang w:val="en-US"/>
        </w:rPr>
        <w:t xml:space="preserve">., </w:t>
      </w:r>
      <w:r w:rsidRPr="00A14184">
        <w:rPr>
          <w:rFonts w:ascii="Tahoma" w:hAnsi="Tahoma" w:cs="Tahoma"/>
        </w:rPr>
        <w:t>σ</w:t>
      </w:r>
      <w:r w:rsidRPr="00D67742">
        <w:rPr>
          <w:rFonts w:ascii="Tahoma" w:hAnsi="Tahoma" w:cs="Tahoma"/>
          <w:lang w:val="en-US"/>
        </w:rPr>
        <w:t>. 230.</w:t>
      </w:r>
      <w:r w:rsidRPr="00D67742">
        <w:rPr>
          <w:rFonts w:ascii="Tahoma" w:hAnsi="Tahoma" w:cs="Tahoma"/>
          <w:b/>
          <w:lang w:val="en-US"/>
        </w:rPr>
        <w:t xml:space="preserve"> </w:t>
      </w:r>
      <w:r w:rsidRPr="00BB7BFE">
        <w:rPr>
          <w:rFonts w:ascii="Tahoma" w:hAnsi="Tahoma" w:cs="Tahoma"/>
          <w:i/>
          <w:lang w:val="en-US"/>
        </w:rPr>
        <w:t>Y. Usui</w:t>
      </w:r>
      <w:r w:rsidRPr="00A14184">
        <w:rPr>
          <w:rFonts w:ascii="Tahoma" w:hAnsi="Tahoma" w:cs="Tahoma"/>
          <w:lang w:val="en-US"/>
        </w:rPr>
        <w:t>, “Evolving Environmental Norms in the European Union”, European Law Journal, Vol. 9</w:t>
      </w:r>
      <w:r w:rsidRPr="00A14184">
        <w:rPr>
          <w:rFonts w:ascii="Tahoma" w:hAnsi="Tahoma" w:cs="Tahoma"/>
          <w:lang w:val="en-GB"/>
        </w:rPr>
        <w:t>(</w:t>
      </w:r>
      <w:r w:rsidRPr="00A14184">
        <w:rPr>
          <w:rFonts w:ascii="Tahoma" w:hAnsi="Tahoma" w:cs="Tahoma"/>
          <w:lang w:val="en-US"/>
        </w:rPr>
        <w:t>1</w:t>
      </w:r>
      <w:r w:rsidRPr="00A14184">
        <w:rPr>
          <w:rFonts w:ascii="Tahoma" w:hAnsi="Tahoma" w:cs="Tahoma"/>
          <w:lang w:val="en-GB"/>
        </w:rPr>
        <w:t>)</w:t>
      </w:r>
      <w:r w:rsidRPr="00A14184">
        <w:rPr>
          <w:rFonts w:ascii="Tahoma" w:hAnsi="Tahoma" w:cs="Tahoma"/>
          <w:lang w:val="en-US"/>
        </w:rPr>
        <w:t xml:space="preserve">, 2003, </w:t>
      </w:r>
      <w:r w:rsidRPr="00A14184">
        <w:rPr>
          <w:rFonts w:ascii="Tahoma" w:hAnsi="Tahoma" w:cs="Tahoma"/>
        </w:rPr>
        <w:t>σ</w:t>
      </w:r>
      <w:r w:rsidRPr="00A14184">
        <w:rPr>
          <w:rFonts w:ascii="Tahoma" w:hAnsi="Tahoma" w:cs="Tahoma"/>
          <w:lang w:val="en-GB"/>
        </w:rPr>
        <w:t>. 71.</w:t>
      </w:r>
      <w:r w:rsidRPr="00A14184">
        <w:rPr>
          <w:rFonts w:ascii="Tahoma" w:hAnsi="Tahoma" w:cs="Tahoma"/>
          <w:b/>
          <w:bCs/>
          <w:lang w:val="en-GB"/>
        </w:rPr>
        <w:t xml:space="preserve"> </w:t>
      </w:r>
      <w:r w:rsidRPr="00BB7BFE">
        <w:rPr>
          <w:rFonts w:ascii="Tahoma" w:hAnsi="Tahoma" w:cs="Tahoma"/>
          <w:bCs/>
          <w:i/>
          <w:lang w:val="fr-FR"/>
        </w:rPr>
        <w:t>L. Boisson de Chazournes</w:t>
      </w:r>
      <w:r w:rsidRPr="00A14184">
        <w:rPr>
          <w:rFonts w:ascii="Tahoma" w:hAnsi="Tahoma" w:cs="Tahoma"/>
          <w:b/>
          <w:bCs/>
          <w:lang w:val="fr-FR"/>
        </w:rPr>
        <w:t xml:space="preserve"> </w:t>
      </w:r>
      <w:r>
        <w:rPr>
          <w:rFonts w:ascii="Tahoma" w:hAnsi="Tahoma" w:cs="Tahoma"/>
          <w:lang w:val="fr-FR"/>
        </w:rPr>
        <w:t>‘‘</w:t>
      </w:r>
      <w:r w:rsidRPr="00A14184">
        <w:rPr>
          <w:rFonts w:ascii="Tahoma" w:hAnsi="Tahoma" w:cs="Tahoma"/>
          <w:lang w:val="fr-FR"/>
        </w:rPr>
        <w:t>Le principe de précautio</w:t>
      </w:r>
      <w:r>
        <w:rPr>
          <w:rFonts w:ascii="Tahoma" w:hAnsi="Tahoma" w:cs="Tahoma"/>
          <w:lang w:val="fr-FR"/>
        </w:rPr>
        <w:t>n : nature, contenu et limites’’</w:t>
      </w:r>
      <w:r w:rsidRPr="00A14184">
        <w:rPr>
          <w:rFonts w:ascii="Tahoma" w:hAnsi="Tahoma" w:cs="Tahoma"/>
          <w:lang w:val="fr-FR"/>
        </w:rPr>
        <w:t xml:space="preserve">, in : </w:t>
      </w:r>
      <w:r w:rsidRPr="00BB7BFE">
        <w:rPr>
          <w:rFonts w:ascii="Tahoma" w:hAnsi="Tahoma" w:cs="Tahoma"/>
          <w:i/>
          <w:lang w:val="fr-FR"/>
        </w:rPr>
        <w:t>C. Leben, J. Verhoeven</w:t>
      </w:r>
      <w:r w:rsidRPr="00A14184">
        <w:rPr>
          <w:rFonts w:ascii="Tahoma" w:hAnsi="Tahoma" w:cs="Tahoma"/>
          <w:lang w:val="fr-FR"/>
        </w:rPr>
        <w:t xml:space="preserve"> (eds), Le principe de précaution. Aspects de droit international et communautaire, Paris, Editions Panthéon Assas, 2002, </w:t>
      </w:r>
      <w:r w:rsidRPr="00A14184">
        <w:rPr>
          <w:rFonts w:ascii="Tahoma" w:hAnsi="Tahoma" w:cs="Tahoma"/>
        </w:rPr>
        <w:t>σ</w:t>
      </w:r>
      <w:r w:rsidRPr="00A14184">
        <w:rPr>
          <w:rFonts w:ascii="Tahoma" w:hAnsi="Tahoma" w:cs="Tahoma"/>
          <w:lang w:val="fr-FR"/>
        </w:rPr>
        <w:t xml:space="preserve">. 65. </w:t>
      </w:r>
      <w:r w:rsidRPr="00BB7BFE">
        <w:rPr>
          <w:rFonts w:ascii="Tahoma" w:hAnsi="Tahoma" w:cs="Tahoma"/>
          <w:bCs/>
          <w:i/>
          <w:lang w:val="fr-FR"/>
        </w:rPr>
        <w:t>L. Boy</w:t>
      </w:r>
      <w:r>
        <w:rPr>
          <w:rFonts w:ascii="Tahoma" w:hAnsi="Tahoma" w:cs="Tahoma"/>
          <w:lang w:val="fr-FR"/>
        </w:rPr>
        <w:t>, ‘‘</w:t>
      </w:r>
      <w:r w:rsidRPr="00A14184">
        <w:rPr>
          <w:rFonts w:ascii="Tahoma" w:hAnsi="Tahoma" w:cs="Tahoma"/>
          <w:lang w:val="fr-FR"/>
        </w:rPr>
        <w:t xml:space="preserve">La nature juridique du principe </w:t>
      </w:r>
      <w:r>
        <w:rPr>
          <w:rFonts w:ascii="Tahoma" w:hAnsi="Tahoma" w:cs="Tahoma"/>
          <w:lang w:val="fr-FR"/>
        </w:rPr>
        <w:t>de précaution’’</w:t>
      </w:r>
      <w:r w:rsidRPr="00A14184">
        <w:rPr>
          <w:rFonts w:ascii="Tahoma" w:hAnsi="Tahoma" w:cs="Tahoma"/>
          <w:lang w:val="fr-FR"/>
        </w:rPr>
        <w:t>, Natures –Sciences –Sociétés, Vol.</w:t>
      </w:r>
      <w:r>
        <w:rPr>
          <w:rFonts w:ascii="Tahoma" w:hAnsi="Tahoma" w:cs="Tahoma"/>
          <w:lang w:val="fr-FR"/>
        </w:rPr>
        <w:t xml:space="preserve"> </w:t>
      </w:r>
      <w:r w:rsidRPr="00A14184">
        <w:rPr>
          <w:rFonts w:ascii="Tahoma" w:hAnsi="Tahoma" w:cs="Tahoma"/>
          <w:lang w:val="fr-FR"/>
        </w:rPr>
        <w:t xml:space="preserve">7(3), 1999, </w:t>
      </w:r>
      <w:r w:rsidRPr="00A14184">
        <w:rPr>
          <w:rFonts w:ascii="Tahoma" w:hAnsi="Tahoma" w:cs="Tahoma"/>
        </w:rPr>
        <w:t>σ</w:t>
      </w:r>
      <w:r w:rsidRPr="00A14184">
        <w:rPr>
          <w:rFonts w:ascii="Tahoma" w:hAnsi="Tahoma" w:cs="Tahoma"/>
          <w:lang w:val="fr-FR"/>
        </w:rPr>
        <w:t>. 8.</w:t>
      </w:r>
    </w:p>
  </w:footnote>
  <w:footnote w:id="2">
    <w:p w:rsidR="00D67742" w:rsidRPr="00A14184" w:rsidRDefault="00D67742" w:rsidP="00D67742">
      <w:pPr>
        <w:pStyle w:val="FootnoteText"/>
        <w:jc w:val="both"/>
        <w:rPr>
          <w:rFonts w:ascii="Tahoma" w:hAnsi="Tahoma" w:cs="Tahoma"/>
          <w:lang w:val="fr-FR"/>
        </w:rPr>
      </w:pPr>
      <w:r w:rsidRPr="00A14184">
        <w:rPr>
          <w:rStyle w:val="FootnoteReference"/>
          <w:rFonts w:ascii="Tahoma" w:hAnsi="Tahoma" w:cs="Tahoma"/>
        </w:rPr>
        <w:footnoteRef/>
      </w:r>
      <w:r w:rsidRPr="00A14184">
        <w:rPr>
          <w:rFonts w:ascii="Tahoma" w:hAnsi="Tahoma" w:cs="Tahoma"/>
          <w:lang w:val="fr-FR"/>
        </w:rPr>
        <w:t xml:space="preserve"> </w:t>
      </w:r>
      <w:r w:rsidRPr="00BB7BFE">
        <w:rPr>
          <w:rFonts w:ascii="Tahoma" w:hAnsi="Tahoma" w:cs="Tahoma"/>
          <w:bCs/>
          <w:i/>
          <w:lang w:val="fr-FR"/>
        </w:rPr>
        <w:t>L. Boisson de Chazournes</w:t>
      </w:r>
      <w:r w:rsidRPr="00A14184">
        <w:rPr>
          <w:rFonts w:ascii="Tahoma" w:hAnsi="Tahoma" w:cs="Tahoma"/>
          <w:b/>
          <w:bCs/>
          <w:lang w:val="fr-FR"/>
        </w:rPr>
        <w:t xml:space="preserve"> </w:t>
      </w:r>
      <w:r>
        <w:rPr>
          <w:rFonts w:ascii="Tahoma" w:hAnsi="Tahoma" w:cs="Tahoma"/>
          <w:lang w:val="fr-FR"/>
        </w:rPr>
        <w:t>‘‘</w:t>
      </w:r>
      <w:r w:rsidRPr="00A14184">
        <w:rPr>
          <w:rFonts w:ascii="Tahoma" w:hAnsi="Tahoma" w:cs="Tahoma"/>
          <w:lang w:val="fr-FR"/>
        </w:rPr>
        <w:t>Le principe de précautio</w:t>
      </w:r>
      <w:r>
        <w:rPr>
          <w:rFonts w:ascii="Tahoma" w:hAnsi="Tahoma" w:cs="Tahoma"/>
          <w:lang w:val="fr-FR"/>
        </w:rPr>
        <w:t>n : nature, contenu et limites’’</w:t>
      </w:r>
      <w:r w:rsidRPr="00A14184">
        <w:rPr>
          <w:rFonts w:ascii="Tahoma" w:hAnsi="Tahoma" w:cs="Tahoma"/>
          <w:lang w:val="fr-FR"/>
        </w:rPr>
        <w:t xml:space="preserve">, </w:t>
      </w:r>
      <w:r w:rsidRPr="00A14184">
        <w:rPr>
          <w:rFonts w:ascii="Tahoma" w:hAnsi="Tahoma" w:cs="Tahoma"/>
        </w:rPr>
        <w:t>ό</w:t>
      </w:r>
      <w:r w:rsidRPr="00A14184">
        <w:rPr>
          <w:rFonts w:ascii="Tahoma" w:hAnsi="Tahoma" w:cs="Tahoma"/>
          <w:lang w:val="fr-FR"/>
        </w:rPr>
        <w:t>.</w:t>
      </w:r>
      <w:r w:rsidRPr="00A14184">
        <w:rPr>
          <w:rFonts w:ascii="Tahoma" w:hAnsi="Tahoma" w:cs="Tahoma"/>
        </w:rPr>
        <w:t>π</w:t>
      </w:r>
      <w:r w:rsidRPr="00A14184">
        <w:rPr>
          <w:rFonts w:ascii="Tahoma" w:hAnsi="Tahoma" w:cs="Tahoma"/>
          <w:lang w:val="fr-FR"/>
        </w:rPr>
        <w:t xml:space="preserve">. </w:t>
      </w:r>
      <w:r w:rsidRPr="00A14184">
        <w:rPr>
          <w:rFonts w:ascii="Tahoma" w:hAnsi="Tahoma" w:cs="Tahoma"/>
        </w:rPr>
        <w:t>σ</w:t>
      </w:r>
      <w:r w:rsidRPr="00A14184">
        <w:rPr>
          <w:rFonts w:ascii="Tahoma" w:hAnsi="Tahoma" w:cs="Tahoma"/>
          <w:lang w:val="fr-FR"/>
        </w:rPr>
        <w:t xml:space="preserve">. 64 </w:t>
      </w:r>
      <w:r w:rsidRPr="00A14184">
        <w:rPr>
          <w:rFonts w:ascii="Tahoma" w:hAnsi="Tahoma" w:cs="Tahoma"/>
        </w:rPr>
        <w:t>επ</w:t>
      </w:r>
      <w:r w:rsidRPr="00A14184">
        <w:rPr>
          <w:rFonts w:ascii="Tahoma" w:hAnsi="Tahoma" w:cs="Tahoma"/>
          <w:lang w:val="fr-FR"/>
        </w:rPr>
        <w:t xml:space="preserve">. </w:t>
      </w:r>
      <w:r>
        <w:rPr>
          <w:rFonts w:ascii="Tahoma" w:hAnsi="Tahoma" w:cs="Tahoma"/>
        </w:rPr>
        <w:t>Αναλυτικότερα</w:t>
      </w:r>
      <w:r w:rsidRPr="003B1185">
        <w:rPr>
          <w:rFonts w:ascii="Tahoma" w:hAnsi="Tahoma" w:cs="Tahoma"/>
          <w:lang w:val="fr-FR"/>
        </w:rPr>
        <w:t xml:space="preserve"> </w:t>
      </w:r>
      <w:r>
        <w:rPr>
          <w:rFonts w:ascii="Tahoma" w:hAnsi="Tahoma" w:cs="Tahoma"/>
        </w:rPr>
        <w:t>για</w:t>
      </w:r>
      <w:r w:rsidRPr="003B1185">
        <w:rPr>
          <w:rFonts w:ascii="Tahoma" w:hAnsi="Tahoma" w:cs="Tahoma"/>
          <w:lang w:val="fr-FR"/>
        </w:rPr>
        <w:t xml:space="preserve"> </w:t>
      </w:r>
      <w:r>
        <w:rPr>
          <w:rFonts w:ascii="Tahoma" w:hAnsi="Tahoma" w:cs="Tahoma"/>
        </w:rPr>
        <w:t>το</w:t>
      </w:r>
      <w:r w:rsidRPr="003B1185">
        <w:rPr>
          <w:rFonts w:ascii="Tahoma" w:hAnsi="Tahoma" w:cs="Tahoma"/>
          <w:lang w:val="fr-FR"/>
        </w:rPr>
        <w:t xml:space="preserve"> ‘‘</w:t>
      </w:r>
      <w:r>
        <w:rPr>
          <w:rFonts w:ascii="Tahoma" w:hAnsi="Tahoma" w:cs="Tahoma"/>
        </w:rPr>
        <w:t>μετανεωτερικό</w:t>
      </w:r>
      <w:r w:rsidRPr="003B1185">
        <w:rPr>
          <w:rFonts w:ascii="Tahoma" w:hAnsi="Tahoma" w:cs="Tahoma"/>
          <w:lang w:val="fr-FR"/>
        </w:rPr>
        <w:t xml:space="preserve">’’ </w:t>
      </w:r>
      <w:r w:rsidRPr="00A14184">
        <w:rPr>
          <w:rFonts w:ascii="Tahoma" w:hAnsi="Tahoma" w:cs="Tahoma"/>
        </w:rPr>
        <w:t>δίκαιο</w:t>
      </w:r>
      <w:r w:rsidRPr="003B1185">
        <w:rPr>
          <w:rFonts w:ascii="Tahoma" w:hAnsi="Tahoma" w:cs="Tahoma"/>
          <w:lang w:val="fr-FR"/>
        </w:rPr>
        <w:t xml:space="preserve">, </w:t>
      </w:r>
      <w:r w:rsidRPr="00A14184">
        <w:rPr>
          <w:rFonts w:ascii="Tahoma" w:hAnsi="Tahoma" w:cs="Tahoma"/>
        </w:rPr>
        <w:t>βλ</w:t>
      </w:r>
      <w:r w:rsidRPr="003B1185">
        <w:rPr>
          <w:rFonts w:ascii="Tahoma" w:hAnsi="Tahoma" w:cs="Tahoma"/>
          <w:lang w:val="fr-FR"/>
        </w:rPr>
        <w:t xml:space="preserve">. </w:t>
      </w:r>
      <w:r w:rsidRPr="00BB7BFE">
        <w:rPr>
          <w:rFonts w:ascii="Tahoma" w:hAnsi="Tahoma" w:cs="Tahoma"/>
          <w:i/>
          <w:lang w:val="fr-FR"/>
        </w:rPr>
        <w:t>J. Chevallier</w:t>
      </w:r>
      <w:r w:rsidRPr="00A14184">
        <w:rPr>
          <w:rFonts w:ascii="Tahoma" w:hAnsi="Tahoma" w:cs="Tahoma"/>
          <w:lang w:val="fr-FR"/>
        </w:rPr>
        <w:t xml:space="preserve">, “Vers un droit postmderne?” in: </w:t>
      </w:r>
      <w:r w:rsidRPr="00BB7BFE">
        <w:rPr>
          <w:rFonts w:ascii="Tahoma" w:hAnsi="Tahoma" w:cs="Tahoma"/>
          <w:i/>
          <w:lang w:val="fr-FR"/>
        </w:rPr>
        <w:t>J. Clam, G.J. Martin</w:t>
      </w:r>
      <w:r>
        <w:rPr>
          <w:rFonts w:ascii="Tahoma" w:hAnsi="Tahoma" w:cs="Tahoma"/>
          <w:lang w:val="fr-FR"/>
        </w:rPr>
        <w:t xml:space="preserve"> (eds</w:t>
      </w:r>
      <w:r w:rsidRPr="00A14184">
        <w:rPr>
          <w:rFonts w:ascii="Tahoma" w:hAnsi="Tahoma" w:cs="Tahoma"/>
          <w:lang w:val="fr-FR"/>
        </w:rPr>
        <w:t xml:space="preserve">), Les transformations de la regulation juridique, Paris, L.G.D.J., 1998, </w:t>
      </w:r>
      <w:r w:rsidRPr="00A14184">
        <w:rPr>
          <w:rFonts w:ascii="Tahoma" w:hAnsi="Tahoma" w:cs="Tahoma"/>
          <w:lang w:val="en-US"/>
        </w:rPr>
        <w:t>σ</w:t>
      </w:r>
      <w:r w:rsidRPr="00A14184">
        <w:rPr>
          <w:rFonts w:ascii="Tahoma" w:hAnsi="Tahoma" w:cs="Tahoma"/>
          <w:lang w:val="fr-FR"/>
        </w:rPr>
        <w:t xml:space="preserve">. 21 </w:t>
      </w:r>
      <w:r w:rsidRPr="00A14184">
        <w:rPr>
          <w:rFonts w:ascii="Tahoma" w:hAnsi="Tahoma" w:cs="Tahoma"/>
          <w:lang w:val="en-US"/>
        </w:rPr>
        <w:t>επ</w:t>
      </w:r>
      <w:r w:rsidRPr="00A14184">
        <w:rPr>
          <w:rFonts w:ascii="Tahoma" w:hAnsi="Tahoma" w:cs="Tahoma"/>
          <w:lang w:val="fr-FR"/>
        </w:rPr>
        <w:t>.</w:t>
      </w:r>
    </w:p>
  </w:footnote>
  <w:footnote w:id="3">
    <w:p w:rsidR="00D67742" w:rsidRPr="00D67742" w:rsidRDefault="00D67742" w:rsidP="00D67742">
      <w:pPr>
        <w:pStyle w:val="FootnoteText"/>
        <w:jc w:val="both"/>
        <w:rPr>
          <w:rFonts w:ascii="Tahoma" w:hAnsi="Tahoma" w:cs="Tahoma"/>
          <w:lang w:val="fr-FR"/>
        </w:rPr>
      </w:pPr>
      <w:r w:rsidRPr="00A14184">
        <w:rPr>
          <w:rStyle w:val="FootnoteReference"/>
          <w:rFonts w:ascii="Tahoma" w:hAnsi="Tahoma" w:cs="Tahoma"/>
        </w:rPr>
        <w:footnoteRef/>
      </w:r>
      <w:r w:rsidRPr="00A14184">
        <w:rPr>
          <w:rFonts w:ascii="Tahoma" w:hAnsi="Tahoma" w:cs="Tahoma"/>
          <w:lang w:val="fr-FR"/>
        </w:rPr>
        <w:t xml:space="preserve"> </w:t>
      </w:r>
      <w:r w:rsidRPr="00BB7BFE">
        <w:rPr>
          <w:rFonts w:ascii="Tahoma" w:hAnsi="Tahoma" w:cs="Tahoma"/>
          <w:i/>
          <w:lang w:val="fr-FR"/>
        </w:rPr>
        <w:t>G. Viney</w:t>
      </w:r>
      <w:r w:rsidRPr="00A14184">
        <w:rPr>
          <w:rFonts w:ascii="Tahoma" w:hAnsi="Tahoma" w:cs="Tahoma"/>
          <w:lang w:val="fr-FR"/>
        </w:rPr>
        <w:t xml:space="preserve">, “Le point de vue d’un juriste”, in: Le principe de precaution, Les Petites Affiches, no 239, 30-11-2000, </w:t>
      </w:r>
      <w:r w:rsidRPr="00A14184">
        <w:rPr>
          <w:rFonts w:ascii="Tahoma" w:hAnsi="Tahoma" w:cs="Tahoma"/>
        </w:rPr>
        <w:t>σ</w:t>
      </w:r>
      <w:r w:rsidRPr="00A14184">
        <w:rPr>
          <w:rFonts w:ascii="Tahoma" w:hAnsi="Tahoma" w:cs="Tahoma"/>
          <w:lang w:val="fr-FR"/>
        </w:rPr>
        <w:t>. 66.</w:t>
      </w:r>
    </w:p>
  </w:footnote>
  <w:footnote w:id="4">
    <w:p w:rsidR="00D67742" w:rsidRPr="00D67742" w:rsidRDefault="00D67742" w:rsidP="00D67742">
      <w:pPr>
        <w:pStyle w:val="FootnoteText"/>
        <w:jc w:val="both"/>
        <w:rPr>
          <w:rFonts w:ascii="Tahoma" w:hAnsi="Tahoma" w:cs="Tahoma"/>
          <w:lang w:val="en-US"/>
        </w:rPr>
      </w:pPr>
      <w:r w:rsidRPr="00A14184">
        <w:rPr>
          <w:rStyle w:val="FootnoteReference"/>
          <w:rFonts w:ascii="Tahoma" w:hAnsi="Tahoma" w:cs="Tahoma"/>
        </w:rPr>
        <w:footnoteRef/>
      </w:r>
      <w:r w:rsidRPr="00A14184">
        <w:rPr>
          <w:rFonts w:ascii="Tahoma" w:hAnsi="Tahoma" w:cs="Tahoma"/>
          <w:lang w:val="en-GB"/>
        </w:rPr>
        <w:t xml:space="preserve"> </w:t>
      </w:r>
      <w:r w:rsidRPr="00A14184">
        <w:rPr>
          <w:rFonts w:ascii="Tahoma" w:hAnsi="Tahoma" w:cs="Tahoma"/>
        </w:rPr>
        <w:t>Βλ</w:t>
      </w:r>
      <w:r w:rsidRPr="00D67742">
        <w:rPr>
          <w:rFonts w:ascii="Tahoma" w:hAnsi="Tahoma" w:cs="Tahoma"/>
          <w:lang w:val="en-US"/>
        </w:rPr>
        <w:t xml:space="preserve">., supra, </w:t>
      </w:r>
      <w:r w:rsidRPr="00A14184">
        <w:rPr>
          <w:rFonts w:ascii="Tahoma" w:hAnsi="Tahoma" w:cs="Tahoma"/>
        </w:rPr>
        <w:t>Πρώτο</w:t>
      </w:r>
      <w:r w:rsidRPr="00D67742">
        <w:rPr>
          <w:rFonts w:ascii="Tahoma" w:hAnsi="Tahoma" w:cs="Tahoma"/>
          <w:lang w:val="en-US"/>
        </w:rPr>
        <w:t xml:space="preserve"> </w:t>
      </w:r>
      <w:r w:rsidRPr="00A14184">
        <w:rPr>
          <w:rFonts w:ascii="Tahoma" w:hAnsi="Tahoma" w:cs="Tahoma"/>
        </w:rPr>
        <w:t>Κεφάλαιο</w:t>
      </w:r>
      <w:r w:rsidRPr="00D67742">
        <w:rPr>
          <w:rFonts w:ascii="Tahoma" w:hAnsi="Tahoma" w:cs="Tahoma"/>
          <w:lang w:val="en-US"/>
        </w:rPr>
        <w:t>.</w:t>
      </w:r>
    </w:p>
  </w:footnote>
  <w:footnote w:id="5">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3B1185">
        <w:rPr>
          <w:rFonts w:ascii="Tahoma" w:hAnsi="Tahoma" w:cs="Tahoma"/>
          <w:i/>
          <w:lang w:val="en-US"/>
        </w:rPr>
        <w:t>E. Fisher, R. Harding</w:t>
      </w:r>
      <w:r w:rsidRPr="00A14184">
        <w:rPr>
          <w:rFonts w:ascii="Tahoma" w:hAnsi="Tahoma" w:cs="Tahoma"/>
          <w:lang w:val="en-US"/>
        </w:rPr>
        <w:t xml:space="preserve">, “The precautionary principle and administrative constitutionalism: the development of frameworks for applying the precautionary principle”, in: </w:t>
      </w:r>
      <w:r w:rsidRPr="003B1185">
        <w:rPr>
          <w:rFonts w:ascii="Tahoma" w:hAnsi="Tahoma" w:cs="Tahoma"/>
          <w:i/>
          <w:lang w:val="en-US"/>
        </w:rPr>
        <w:t>E. Fisher, J. Jones, R. von Schomberg</w:t>
      </w:r>
      <w:r w:rsidRPr="00A14184">
        <w:rPr>
          <w:rFonts w:ascii="Tahoma" w:hAnsi="Tahoma" w:cs="Tahoma"/>
          <w:lang w:val="en-US"/>
        </w:rPr>
        <w:t xml:space="preserve"> (eds), Impementing the Precautionary Principle. Perspectives and Prospects, </w:t>
      </w:r>
      <w:smartTag w:uri="urn:schemas-microsoft-com:office:smarttags" w:element="place">
        <w:r w:rsidRPr="00A14184">
          <w:rPr>
            <w:rFonts w:ascii="Tahoma" w:hAnsi="Tahoma" w:cs="Tahoma"/>
            <w:lang w:val="en-US"/>
          </w:rPr>
          <w:t>Cheltenham</w:t>
        </w:r>
      </w:smartTag>
      <w:r w:rsidRPr="00A14184">
        <w:rPr>
          <w:rFonts w:ascii="Tahoma" w:hAnsi="Tahoma" w:cs="Tahoma"/>
          <w:lang w:val="en-US"/>
        </w:rPr>
        <w:t xml:space="preserve"> UK/Northampton</w:t>
      </w:r>
      <w:r>
        <w:rPr>
          <w:rFonts w:ascii="Tahoma" w:hAnsi="Tahoma" w:cs="Tahoma"/>
          <w:lang w:val="en-US"/>
        </w:rPr>
        <w:t xml:space="preserve"> MA,</w:t>
      </w:r>
      <w:r w:rsidRPr="00A14184">
        <w:rPr>
          <w:rFonts w:ascii="Tahoma" w:hAnsi="Tahoma" w:cs="Tahoma"/>
          <w:lang w:val="en-US"/>
        </w:rPr>
        <w:t xml:space="preserve"> Edward E</w:t>
      </w:r>
      <w:r>
        <w:rPr>
          <w:rFonts w:ascii="Tahoma" w:hAnsi="Tahoma" w:cs="Tahoma"/>
          <w:lang w:val="en-US"/>
        </w:rPr>
        <w:t>lgar Publishing, 2006,</w:t>
      </w:r>
      <w:r w:rsidRPr="00A14184">
        <w:rPr>
          <w:rFonts w:ascii="Tahoma" w:hAnsi="Tahoma" w:cs="Tahoma"/>
          <w:lang w:val="en-US"/>
        </w:rPr>
        <w:t xml:space="preserve"> </w:t>
      </w:r>
      <w:r w:rsidRPr="00A14184">
        <w:rPr>
          <w:rFonts w:ascii="Tahoma" w:hAnsi="Tahoma" w:cs="Tahoma"/>
        </w:rPr>
        <w:t>σ</w:t>
      </w:r>
      <w:r w:rsidRPr="00A14184">
        <w:rPr>
          <w:rFonts w:ascii="Tahoma" w:hAnsi="Tahoma" w:cs="Tahoma"/>
          <w:lang w:val="en-GB"/>
        </w:rPr>
        <w:t>. 115.</w:t>
      </w:r>
    </w:p>
  </w:footnote>
  <w:footnote w:id="6">
    <w:p w:rsidR="00D67742" w:rsidRPr="00D67742" w:rsidRDefault="00D67742" w:rsidP="00D67742">
      <w:pPr>
        <w:pStyle w:val="FootnoteText"/>
        <w:rPr>
          <w:rFonts w:ascii="Tahoma" w:hAnsi="Tahoma" w:cs="Tahoma"/>
          <w:lang w:val="en-US"/>
        </w:rPr>
      </w:pPr>
      <w:r w:rsidRPr="00A14184">
        <w:rPr>
          <w:rStyle w:val="FootnoteReference"/>
          <w:rFonts w:ascii="Tahoma" w:hAnsi="Tahoma" w:cs="Tahoma"/>
        </w:rPr>
        <w:footnoteRef/>
      </w:r>
      <w:r w:rsidRPr="00D67742">
        <w:rPr>
          <w:rFonts w:ascii="Tahoma" w:hAnsi="Tahoma" w:cs="Tahoma"/>
          <w:lang w:val="en-US"/>
        </w:rPr>
        <w:t xml:space="preserve"> </w:t>
      </w:r>
      <w:r w:rsidRPr="00A14184">
        <w:rPr>
          <w:rFonts w:ascii="Tahoma" w:hAnsi="Tahoma" w:cs="Tahoma"/>
        </w:rPr>
        <w:t>Βλ</w:t>
      </w:r>
      <w:r w:rsidRPr="00D67742">
        <w:rPr>
          <w:rFonts w:ascii="Tahoma" w:hAnsi="Tahoma" w:cs="Tahoma"/>
          <w:lang w:val="en-US"/>
        </w:rPr>
        <w:t xml:space="preserve">., supra, </w:t>
      </w:r>
      <w:r w:rsidRPr="00A14184">
        <w:rPr>
          <w:rFonts w:ascii="Tahoma" w:hAnsi="Tahoma" w:cs="Tahoma"/>
        </w:rPr>
        <w:t>Πρώτο</w:t>
      </w:r>
      <w:r w:rsidRPr="00D67742">
        <w:rPr>
          <w:rFonts w:ascii="Tahoma" w:hAnsi="Tahoma" w:cs="Tahoma"/>
          <w:lang w:val="en-US"/>
        </w:rPr>
        <w:t xml:space="preserve"> </w:t>
      </w:r>
      <w:r w:rsidRPr="00A14184">
        <w:rPr>
          <w:rFonts w:ascii="Tahoma" w:hAnsi="Tahoma" w:cs="Tahoma"/>
        </w:rPr>
        <w:t>Κεφάλαιο</w:t>
      </w:r>
      <w:r w:rsidRPr="00D67742">
        <w:rPr>
          <w:rFonts w:ascii="Tahoma" w:hAnsi="Tahoma" w:cs="Tahoma"/>
          <w:lang w:val="en-US"/>
        </w:rPr>
        <w:t xml:space="preserve">. </w:t>
      </w:r>
    </w:p>
  </w:footnote>
  <w:footnote w:id="7">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D67742">
        <w:rPr>
          <w:rFonts w:ascii="Tahoma" w:hAnsi="Tahoma" w:cs="Tahoma"/>
          <w:lang w:val="en-US"/>
        </w:rPr>
        <w:t xml:space="preserve"> </w:t>
      </w:r>
      <w:r w:rsidRPr="00A14184">
        <w:rPr>
          <w:rFonts w:ascii="Tahoma" w:hAnsi="Tahoma" w:cs="Tahoma"/>
        </w:rPr>
        <w:t>Μια</w:t>
      </w:r>
      <w:r w:rsidRPr="00D67742">
        <w:rPr>
          <w:rFonts w:ascii="Tahoma" w:hAnsi="Tahoma" w:cs="Tahoma"/>
          <w:lang w:val="en-US"/>
        </w:rPr>
        <w:t xml:space="preserve">  </w:t>
      </w:r>
      <w:r w:rsidRPr="00A14184">
        <w:rPr>
          <w:rFonts w:ascii="Tahoma" w:hAnsi="Tahoma" w:cs="Tahoma"/>
        </w:rPr>
        <w:t>εικόνα</w:t>
      </w:r>
      <w:r w:rsidRPr="00D67742">
        <w:rPr>
          <w:rFonts w:ascii="Tahoma" w:hAnsi="Tahoma" w:cs="Tahoma"/>
          <w:lang w:val="en-US"/>
        </w:rPr>
        <w:t xml:space="preserve"> </w:t>
      </w:r>
      <w:r w:rsidRPr="00A14184">
        <w:rPr>
          <w:rFonts w:ascii="Tahoma" w:hAnsi="Tahoma" w:cs="Tahoma"/>
        </w:rPr>
        <w:t>δίνεται</w:t>
      </w:r>
      <w:r w:rsidRPr="00D67742">
        <w:rPr>
          <w:rFonts w:ascii="Tahoma" w:hAnsi="Tahoma" w:cs="Tahoma"/>
          <w:lang w:val="en-US"/>
        </w:rPr>
        <w:t xml:space="preserve"> </w:t>
      </w:r>
      <w:r w:rsidRPr="00A14184">
        <w:rPr>
          <w:rFonts w:ascii="Tahoma" w:hAnsi="Tahoma" w:cs="Tahoma"/>
        </w:rPr>
        <w:t>στην</w:t>
      </w:r>
      <w:r w:rsidRPr="00D67742">
        <w:rPr>
          <w:rFonts w:ascii="Tahoma" w:hAnsi="Tahoma" w:cs="Tahoma"/>
          <w:lang w:val="en-US"/>
        </w:rPr>
        <w:t xml:space="preserve"> </w:t>
      </w:r>
      <w:r w:rsidRPr="00A14184">
        <w:rPr>
          <w:rFonts w:ascii="Tahoma" w:hAnsi="Tahoma" w:cs="Tahoma"/>
        </w:rPr>
        <w:t>παρατιθέμενη</w:t>
      </w:r>
      <w:r w:rsidRPr="00D67742">
        <w:rPr>
          <w:rFonts w:ascii="Tahoma" w:hAnsi="Tahoma" w:cs="Tahoma"/>
          <w:lang w:val="en-US"/>
        </w:rPr>
        <w:t xml:space="preserve"> </w:t>
      </w:r>
      <w:r w:rsidRPr="00A14184">
        <w:rPr>
          <w:rFonts w:ascii="Tahoma" w:hAnsi="Tahoma" w:cs="Tahoma"/>
        </w:rPr>
        <w:t>βιβλιογραφία</w:t>
      </w:r>
      <w:r w:rsidRPr="00D67742">
        <w:rPr>
          <w:rFonts w:ascii="Tahoma" w:hAnsi="Tahoma" w:cs="Tahoma"/>
          <w:lang w:val="en-US"/>
        </w:rPr>
        <w:t xml:space="preserve"> </w:t>
      </w:r>
      <w:r w:rsidRPr="00A14184">
        <w:rPr>
          <w:rFonts w:ascii="Tahoma" w:hAnsi="Tahoma" w:cs="Tahoma"/>
        </w:rPr>
        <w:t>στη</w:t>
      </w:r>
      <w:r w:rsidRPr="00D67742">
        <w:rPr>
          <w:rFonts w:ascii="Tahoma" w:hAnsi="Tahoma" w:cs="Tahoma"/>
          <w:lang w:val="en-US"/>
        </w:rPr>
        <w:t xml:space="preserve"> </w:t>
      </w:r>
      <w:r w:rsidRPr="00A14184">
        <w:rPr>
          <w:rFonts w:ascii="Tahoma" w:hAnsi="Tahoma" w:cs="Tahoma"/>
        </w:rPr>
        <w:t>μονογραφία</w:t>
      </w:r>
      <w:r w:rsidRPr="00D67742">
        <w:rPr>
          <w:rFonts w:ascii="Tahoma" w:hAnsi="Tahoma" w:cs="Tahoma"/>
          <w:lang w:val="en-US"/>
        </w:rPr>
        <w:t xml:space="preserve"> </w:t>
      </w:r>
      <w:r w:rsidRPr="00A14184">
        <w:rPr>
          <w:rFonts w:ascii="Tahoma" w:hAnsi="Tahoma" w:cs="Tahoma"/>
        </w:rPr>
        <w:t>μας</w:t>
      </w:r>
      <w:r w:rsidRPr="00D67742">
        <w:rPr>
          <w:rFonts w:ascii="Tahoma" w:hAnsi="Tahoma" w:cs="Tahoma"/>
          <w:lang w:val="en-US"/>
        </w:rPr>
        <w:t xml:space="preserve">, </w:t>
      </w:r>
      <w:r w:rsidRPr="00A14184">
        <w:rPr>
          <w:rFonts w:ascii="Tahoma" w:hAnsi="Tahoma" w:cs="Tahoma"/>
        </w:rPr>
        <w:t>Η</w:t>
      </w:r>
      <w:r w:rsidRPr="00D67742">
        <w:rPr>
          <w:rFonts w:ascii="Tahoma" w:hAnsi="Tahoma" w:cs="Tahoma"/>
          <w:lang w:val="en-US"/>
        </w:rPr>
        <w:t xml:space="preserve"> </w:t>
      </w:r>
      <w:r w:rsidRPr="00A14184">
        <w:rPr>
          <w:rFonts w:ascii="Tahoma" w:hAnsi="Tahoma" w:cs="Tahoma"/>
        </w:rPr>
        <w:t>αρχή</w:t>
      </w:r>
      <w:r w:rsidRPr="00D67742">
        <w:rPr>
          <w:rFonts w:ascii="Tahoma" w:hAnsi="Tahoma" w:cs="Tahoma"/>
          <w:lang w:val="en-US"/>
        </w:rPr>
        <w:t xml:space="preserve"> </w:t>
      </w:r>
      <w:r w:rsidRPr="00A14184">
        <w:rPr>
          <w:rFonts w:ascii="Tahoma" w:hAnsi="Tahoma" w:cs="Tahoma"/>
        </w:rPr>
        <w:t>της</w:t>
      </w:r>
      <w:r w:rsidRPr="00D67742">
        <w:rPr>
          <w:rFonts w:ascii="Tahoma" w:hAnsi="Tahoma" w:cs="Tahoma"/>
          <w:lang w:val="en-US"/>
        </w:rPr>
        <w:t xml:space="preserve"> </w:t>
      </w:r>
      <w:r w:rsidRPr="00A14184">
        <w:rPr>
          <w:rFonts w:ascii="Tahoma" w:hAnsi="Tahoma" w:cs="Tahoma"/>
        </w:rPr>
        <w:t>προφύλαξης</w:t>
      </w:r>
      <w:r w:rsidRPr="00D67742">
        <w:rPr>
          <w:rFonts w:ascii="Tahoma" w:hAnsi="Tahoma" w:cs="Tahoma"/>
          <w:lang w:val="en-US"/>
        </w:rPr>
        <w:t xml:space="preserve"> </w:t>
      </w:r>
      <w:r w:rsidRPr="00A14184">
        <w:rPr>
          <w:rFonts w:ascii="Tahoma" w:hAnsi="Tahoma" w:cs="Tahoma"/>
        </w:rPr>
        <w:t>στο</w:t>
      </w:r>
      <w:r w:rsidRPr="00D67742">
        <w:rPr>
          <w:rFonts w:ascii="Tahoma" w:hAnsi="Tahoma" w:cs="Tahoma"/>
          <w:lang w:val="en-US"/>
        </w:rPr>
        <w:t xml:space="preserve"> </w:t>
      </w:r>
      <w:r w:rsidRPr="00A14184">
        <w:rPr>
          <w:rFonts w:ascii="Tahoma" w:hAnsi="Tahoma" w:cs="Tahoma"/>
        </w:rPr>
        <w:t>Διεθνές</w:t>
      </w:r>
      <w:r w:rsidRPr="00D67742">
        <w:rPr>
          <w:rFonts w:ascii="Tahoma" w:hAnsi="Tahoma" w:cs="Tahoma"/>
          <w:lang w:val="en-US"/>
        </w:rPr>
        <w:t xml:space="preserve">, </w:t>
      </w:r>
      <w:r w:rsidRPr="00A14184">
        <w:rPr>
          <w:rFonts w:ascii="Tahoma" w:hAnsi="Tahoma" w:cs="Tahoma"/>
        </w:rPr>
        <w:t>Κοινοτι</w:t>
      </w:r>
      <w:r>
        <w:rPr>
          <w:rFonts w:ascii="Tahoma" w:hAnsi="Tahoma" w:cs="Tahoma"/>
        </w:rPr>
        <w:t>κό</w:t>
      </w:r>
      <w:r w:rsidRPr="00D67742">
        <w:rPr>
          <w:rFonts w:ascii="Tahoma" w:hAnsi="Tahoma" w:cs="Tahoma"/>
          <w:lang w:val="en-US"/>
        </w:rPr>
        <w:t xml:space="preserve"> </w:t>
      </w:r>
      <w:r>
        <w:rPr>
          <w:rFonts w:ascii="Tahoma" w:hAnsi="Tahoma" w:cs="Tahoma"/>
        </w:rPr>
        <w:t>και</w:t>
      </w:r>
      <w:r w:rsidRPr="00D67742">
        <w:rPr>
          <w:rFonts w:ascii="Tahoma" w:hAnsi="Tahoma" w:cs="Tahoma"/>
          <w:lang w:val="en-US"/>
        </w:rPr>
        <w:t xml:space="preserve"> </w:t>
      </w:r>
      <w:r>
        <w:rPr>
          <w:rFonts w:ascii="Tahoma" w:hAnsi="Tahoma" w:cs="Tahoma"/>
        </w:rPr>
        <w:t>Συγκριτικό</w:t>
      </w:r>
      <w:r w:rsidRPr="00D67742">
        <w:rPr>
          <w:rFonts w:ascii="Tahoma" w:hAnsi="Tahoma" w:cs="Tahoma"/>
          <w:lang w:val="en-US"/>
        </w:rPr>
        <w:t xml:space="preserve"> </w:t>
      </w:r>
      <w:r>
        <w:rPr>
          <w:rFonts w:ascii="Tahoma" w:hAnsi="Tahoma" w:cs="Tahoma"/>
        </w:rPr>
        <w:t>δίκαιο</w:t>
      </w:r>
      <w:r w:rsidRPr="00D67742">
        <w:rPr>
          <w:rFonts w:ascii="Tahoma" w:hAnsi="Tahoma" w:cs="Tahoma"/>
          <w:lang w:val="en-US"/>
        </w:rPr>
        <w:t xml:space="preserve">, </w:t>
      </w:r>
      <w:r>
        <w:rPr>
          <w:rFonts w:ascii="Tahoma" w:hAnsi="Tahoma" w:cs="Tahoma"/>
        </w:rPr>
        <w:t>Αθήνα</w:t>
      </w:r>
      <w:r w:rsidRPr="00D67742">
        <w:rPr>
          <w:rFonts w:ascii="Tahoma" w:hAnsi="Tahoma" w:cs="Tahoma"/>
          <w:lang w:val="en-US"/>
        </w:rPr>
        <w:t>/</w:t>
      </w:r>
      <w:r w:rsidRPr="00A14184">
        <w:rPr>
          <w:rFonts w:ascii="Tahoma" w:hAnsi="Tahoma" w:cs="Tahoma"/>
        </w:rPr>
        <w:t>Κομοτηνή</w:t>
      </w:r>
      <w:r w:rsidRPr="00D67742">
        <w:rPr>
          <w:rFonts w:ascii="Tahoma" w:hAnsi="Tahoma" w:cs="Tahoma"/>
          <w:lang w:val="en-US"/>
        </w:rPr>
        <w:t xml:space="preserve">, </w:t>
      </w:r>
      <w:r w:rsidRPr="00A14184">
        <w:rPr>
          <w:rFonts w:ascii="Tahoma" w:hAnsi="Tahoma" w:cs="Tahoma"/>
        </w:rPr>
        <w:t>εκδ</w:t>
      </w:r>
      <w:r w:rsidRPr="00D67742">
        <w:rPr>
          <w:rFonts w:ascii="Tahoma" w:hAnsi="Tahoma" w:cs="Tahoma"/>
          <w:lang w:val="en-US"/>
        </w:rPr>
        <w:t xml:space="preserve">. </w:t>
      </w:r>
      <w:r w:rsidRPr="00A14184">
        <w:rPr>
          <w:rFonts w:ascii="Tahoma" w:hAnsi="Tahoma" w:cs="Tahoma"/>
        </w:rPr>
        <w:t>Αντ.Ν. Σάκκουλα, 2005. Να τονίσουμε επίσης ότι οι σκέψεις που ακολουθούν στηρίζονται στην ανάλυση που επιχειρήσαμε στην παραπάνω μελέτη μας, υπό το φως των νεώτερων εξελίξεων που έλαβαν χώρα τόσο στον τομέα της θεωρίας όσο και σε αυτόν της νομολογίας.</w:t>
      </w:r>
    </w:p>
  </w:footnote>
  <w:footnote w:id="8">
    <w:p w:rsidR="00D67742" w:rsidRPr="00D67742" w:rsidRDefault="00D67742" w:rsidP="00D67742">
      <w:pPr>
        <w:pStyle w:val="FootnoteText"/>
        <w:jc w:val="both"/>
        <w:rPr>
          <w:rFonts w:ascii="Tahoma" w:hAnsi="Tahoma" w:cs="Tahoma"/>
          <w:lang w:val="fr-FR"/>
        </w:rPr>
      </w:pPr>
      <w:r w:rsidRPr="00A14184">
        <w:rPr>
          <w:rStyle w:val="FootnoteReference"/>
          <w:rFonts w:ascii="Tahoma" w:hAnsi="Tahoma" w:cs="Tahoma"/>
        </w:rPr>
        <w:footnoteRef/>
      </w:r>
      <w:r w:rsidRPr="00A14184">
        <w:rPr>
          <w:rFonts w:ascii="Tahoma" w:hAnsi="Tahoma" w:cs="Tahoma"/>
          <w:lang w:val="fr-FR"/>
        </w:rPr>
        <w:t xml:space="preserve"> </w:t>
      </w:r>
      <w:r w:rsidRPr="003B1185">
        <w:rPr>
          <w:rFonts w:ascii="Tahoma" w:hAnsi="Tahoma" w:cs="Tahoma"/>
          <w:i/>
          <w:lang w:val="fr-FR"/>
        </w:rPr>
        <w:t>M. Boutonnet</w:t>
      </w:r>
      <w:r w:rsidRPr="00A14184">
        <w:rPr>
          <w:rFonts w:ascii="Tahoma" w:hAnsi="Tahoma" w:cs="Tahoma"/>
          <w:lang w:val="fr-FR"/>
        </w:rPr>
        <w:t xml:space="preserve">, Le principe de précaution en droit de la responsabilité civile, </w:t>
      </w:r>
      <w:r w:rsidRPr="00A14184">
        <w:rPr>
          <w:rFonts w:ascii="Tahoma" w:hAnsi="Tahoma" w:cs="Tahoma"/>
        </w:rPr>
        <w:t>ό</w:t>
      </w:r>
      <w:r w:rsidRPr="00A14184">
        <w:rPr>
          <w:rFonts w:ascii="Tahoma" w:hAnsi="Tahoma" w:cs="Tahoma"/>
          <w:lang w:val="fr-FR"/>
        </w:rPr>
        <w:t>.</w:t>
      </w:r>
      <w:r w:rsidRPr="00A14184">
        <w:rPr>
          <w:rFonts w:ascii="Tahoma" w:hAnsi="Tahoma" w:cs="Tahoma"/>
        </w:rPr>
        <w:t>π</w:t>
      </w:r>
      <w:r w:rsidRPr="00A14184">
        <w:rPr>
          <w:rFonts w:ascii="Tahoma" w:hAnsi="Tahoma" w:cs="Tahoma"/>
          <w:lang w:val="fr-FR"/>
        </w:rPr>
        <w:t xml:space="preserve">., </w:t>
      </w:r>
      <w:r w:rsidRPr="00A14184">
        <w:rPr>
          <w:rFonts w:ascii="Tahoma" w:hAnsi="Tahoma" w:cs="Tahoma"/>
        </w:rPr>
        <w:t>σ</w:t>
      </w:r>
      <w:r w:rsidRPr="00A14184">
        <w:rPr>
          <w:rFonts w:ascii="Tahoma" w:hAnsi="Tahoma" w:cs="Tahoma"/>
          <w:lang w:val="fr-FR"/>
        </w:rPr>
        <w:t>. 2.</w:t>
      </w:r>
    </w:p>
  </w:footnote>
  <w:footnote w:id="9">
    <w:p w:rsidR="00D67742" w:rsidRPr="002B30D9"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A14184">
        <w:rPr>
          <w:rFonts w:ascii="Tahoma" w:hAnsi="Tahoma" w:cs="Tahoma"/>
        </w:rPr>
        <w:t>Βλ</w:t>
      </w:r>
      <w:r w:rsidRPr="00A14184">
        <w:rPr>
          <w:rFonts w:ascii="Tahoma" w:hAnsi="Tahoma" w:cs="Tahoma"/>
          <w:lang w:val="en-GB"/>
        </w:rPr>
        <w:t xml:space="preserve">., </w:t>
      </w:r>
      <w:r w:rsidRPr="00A14184">
        <w:rPr>
          <w:rFonts w:ascii="Tahoma" w:hAnsi="Tahoma" w:cs="Tahoma"/>
        </w:rPr>
        <w:t>αντί</w:t>
      </w:r>
      <w:r w:rsidRPr="00A14184">
        <w:rPr>
          <w:rFonts w:ascii="Tahoma" w:hAnsi="Tahoma" w:cs="Tahoma"/>
          <w:lang w:val="en-GB"/>
        </w:rPr>
        <w:t xml:space="preserve"> </w:t>
      </w:r>
      <w:r w:rsidRPr="00A14184">
        <w:rPr>
          <w:rFonts w:ascii="Tahoma" w:hAnsi="Tahoma" w:cs="Tahoma"/>
        </w:rPr>
        <w:t>άλλων</w:t>
      </w:r>
      <w:r w:rsidRPr="00A14184">
        <w:rPr>
          <w:rFonts w:ascii="Tahoma" w:hAnsi="Tahoma" w:cs="Tahoma"/>
          <w:lang w:val="en-GB"/>
        </w:rPr>
        <w:t xml:space="preserve">, </w:t>
      </w:r>
      <w:r w:rsidRPr="003B1185">
        <w:rPr>
          <w:rFonts w:ascii="Tahoma" w:hAnsi="Tahoma" w:cs="Tahoma"/>
          <w:i/>
          <w:lang w:val="en-US"/>
        </w:rPr>
        <w:t>N. de Sadeleer</w:t>
      </w:r>
      <w:r w:rsidRPr="00A14184">
        <w:rPr>
          <w:rFonts w:ascii="Tahoma" w:hAnsi="Tahoma" w:cs="Tahoma"/>
          <w:lang w:val="en-US"/>
        </w:rPr>
        <w:t xml:space="preserve">, “The effect of uncertainty on the threshold levels to which the precautionary principle appears to be subject”, in: </w:t>
      </w:r>
      <w:r w:rsidRPr="003B1185">
        <w:rPr>
          <w:rFonts w:ascii="Tahoma" w:hAnsi="Tahoma" w:cs="Tahoma"/>
          <w:i/>
          <w:lang w:val="en-US"/>
        </w:rPr>
        <w:t>M. Sheridan, L. Lavrysen</w:t>
      </w:r>
      <w:r w:rsidRPr="00A14184">
        <w:rPr>
          <w:rFonts w:ascii="Tahoma" w:hAnsi="Tahoma" w:cs="Tahoma"/>
          <w:lang w:val="en-US"/>
        </w:rPr>
        <w:t xml:space="preserve"> (eds), Environmental Law Principles in Practice, </w:t>
      </w:r>
      <w:r>
        <w:rPr>
          <w:rFonts w:ascii="Tahoma" w:hAnsi="Tahoma" w:cs="Tahoma"/>
          <w:lang w:val="en-US"/>
        </w:rPr>
        <w:t>Bruxelles, Bruylant, 2002,</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xml:space="preserve">. 19. </w:t>
      </w:r>
    </w:p>
  </w:footnote>
  <w:footnote w:id="10">
    <w:p w:rsidR="00D67742" w:rsidRPr="00D67742" w:rsidRDefault="00D67742" w:rsidP="00D67742">
      <w:pPr>
        <w:pStyle w:val="FootnoteText"/>
        <w:jc w:val="both"/>
        <w:rPr>
          <w:rFonts w:ascii="Tahoma" w:hAnsi="Tahoma" w:cs="Tahoma"/>
        </w:rPr>
      </w:pPr>
      <w:r w:rsidRPr="00A14184">
        <w:rPr>
          <w:rStyle w:val="FootnoteReference"/>
          <w:rFonts w:ascii="Tahoma" w:hAnsi="Tahoma" w:cs="Tahoma"/>
        </w:rPr>
        <w:footnoteRef/>
      </w:r>
      <w:r w:rsidRPr="00D67742">
        <w:rPr>
          <w:rFonts w:ascii="Tahoma" w:hAnsi="Tahoma" w:cs="Tahoma"/>
        </w:rPr>
        <w:t xml:space="preserve"> </w:t>
      </w:r>
      <w:smartTag w:uri="urn:schemas-microsoft-com:office:smarttags" w:element="place">
        <w:r w:rsidRPr="00A14184">
          <w:rPr>
            <w:rFonts w:ascii="Tahoma" w:hAnsi="Tahoma" w:cs="Tahoma"/>
            <w:lang w:val="en-GB"/>
          </w:rPr>
          <w:t>Rio</w:t>
        </w:r>
      </w:smartTag>
      <w:r w:rsidRPr="00D67742">
        <w:rPr>
          <w:rFonts w:ascii="Tahoma" w:hAnsi="Tahoma" w:cs="Tahoma"/>
        </w:rPr>
        <w:t xml:space="preserve"> </w:t>
      </w:r>
      <w:r w:rsidRPr="00A14184">
        <w:rPr>
          <w:rFonts w:ascii="Tahoma" w:hAnsi="Tahoma" w:cs="Tahoma"/>
          <w:lang w:val="en-GB"/>
        </w:rPr>
        <w:t>Declaration</w:t>
      </w:r>
      <w:r w:rsidRPr="00D67742">
        <w:rPr>
          <w:rFonts w:ascii="Tahoma" w:hAnsi="Tahoma" w:cs="Tahoma"/>
        </w:rPr>
        <w:t xml:space="preserve"> </w:t>
      </w:r>
      <w:r w:rsidRPr="00A14184">
        <w:rPr>
          <w:rFonts w:ascii="Tahoma" w:hAnsi="Tahoma" w:cs="Tahoma"/>
          <w:lang w:val="en-GB"/>
        </w:rPr>
        <w:t>on</w:t>
      </w:r>
      <w:r w:rsidRPr="00D67742">
        <w:rPr>
          <w:rFonts w:ascii="Tahoma" w:hAnsi="Tahoma" w:cs="Tahoma"/>
        </w:rPr>
        <w:t xml:space="preserve"> </w:t>
      </w:r>
      <w:r w:rsidRPr="00A14184">
        <w:rPr>
          <w:rFonts w:ascii="Tahoma" w:hAnsi="Tahoma" w:cs="Tahoma"/>
          <w:lang w:val="en-GB"/>
        </w:rPr>
        <w:t>Environment</w:t>
      </w:r>
      <w:r w:rsidRPr="00D67742">
        <w:rPr>
          <w:rFonts w:ascii="Tahoma" w:hAnsi="Tahoma" w:cs="Tahoma"/>
        </w:rPr>
        <w:t xml:space="preserve"> </w:t>
      </w:r>
      <w:r w:rsidRPr="00A14184">
        <w:rPr>
          <w:rFonts w:ascii="Tahoma" w:hAnsi="Tahoma" w:cs="Tahoma"/>
          <w:lang w:val="en-GB"/>
        </w:rPr>
        <w:t>and</w:t>
      </w:r>
      <w:r w:rsidRPr="00D67742">
        <w:rPr>
          <w:rFonts w:ascii="Tahoma" w:hAnsi="Tahoma" w:cs="Tahoma"/>
        </w:rPr>
        <w:t xml:space="preserve"> </w:t>
      </w:r>
      <w:r w:rsidRPr="00A14184">
        <w:rPr>
          <w:rFonts w:ascii="Tahoma" w:hAnsi="Tahoma" w:cs="Tahoma"/>
          <w:lang w:val="en-GB"/>
        </w:rPr>
        <w:t>Development</w:t>
      </w:r>
      <w:r w:rsidRPr="00D67742">
        <w:rPr>
          <w:rFonts w:ascii="Tahoma" w:hAnsi="Tahoma" w:cs="Tahoma"/>
        </w:rPr>
        <w:t xml:space="preserve">, 13 </w:t>
      </w:r>
      <w:r w:rsidRPr="00A14184">
        <w:rPr>
          <w:rFonts w:ascii="Tahoma" w:hAnsi="Tahoma" w:cs="Tahoma"/>
          <w:lang w:val="en-GB"/>
        </w:rPr>
        <w:t>June</w:t>
      </w:r>
      <w:r w:rsidRPr="00D67742">
        <w:rPr>
          <w:rFonts w:ascii="Tahoma" w:hAnsi="Tahoma" w:cs="Tahoma"/>
        </w:rPr>
        <w:t xml:space="preserve"> 1992, </w:t>
      </w:r>
      <w:r w:rsidRPr="00A14184">
        <w:rPr>
          <w:rFonts w:ascii="Tahoma" w:hAnsi="Tahoma" w:cs="Tahoma"/>
          <w:lang w:val="en-GB"/>
        </w:rPr>
        <w:t>UN</w:t>
      </w:r>
      <w:r w:rsidRPr="00D67742">
        <w:rPr>
          <w:rFonts w:ascii="Tahoma" w:hAnsi="Tahoma" w:cs="Tahoma"/>
        </w:rPr>
        <w:t xml:space="preserve">. </w:t>
      </w:r>
      <w:r w:rsidRPr="00A14184">
        <w:rPr>
          <w:rFonts w:ascii="Tahoma" w:hAnsi="Tahoma" w:cs="Tahoma"/>
          <w:lang w:val="en-GB"/>
        </w:rPr>
        <w:t>Doc</w:t>
      </w:r>
      <w:r w:rsidRPr="00D67742">
        <w:rPr>
          <w:rFonts w:ascii="Tahoma" w:hAnsi="Tahoma" w:cs="Tahoma"/>
        </w:rPr>
        <w:t xml:space="preserve">. </w:t>
      </w:r>
      <w:r w:rsidRPr="00A14184">
        <w:rPr>
          <w:rFonts w:ascii="Tahoma" w:hAnsi="Tahoma" w:cs="Tahoma"/>
          <w:lang w:val="en-GB"/>
        </w:rPr>
        <w:t>A</w:t>
      </w:r>
      <w:r w:rsidRPr="00D67742">
        <w:rPr>
          <w:rFonts w:ascii="Tahoma" w:hAnsi="Tahoma" w:cs="Tahoma"/>
        </w:rPr>
        <w:t xml:space="preserve"> / </w:t>
      </w:r>
      <w:r w:rsidRPr="00A14184">
        <w:rPr>
          <w:rFonts w:ascii="Tahoma" w:hAnsi="Tahoma" w:cs="Tahoma"/>
          <w:lang w:val="en-GB"/>
        </w:rPr>
        <w:t>Conf</w:t>
      </w:r>
      <w:r w:rsidRPr="00D67742">
        <w:rPr>
          <w:rFonts w:ascii="Tahoma" w:hAnsi="Tahoma" w:cs="Tahoma"/>
        </w:rPr>
        <w:t xml:space="preserve">. 151/ 5/ </w:t>
      </w:r>
      <w:r w:rsidRPr="00A14184">
        <w:rPr>
          <w:rFonts w:ascii="Tahoma" w:hAnsi="Tahoma" w:cs="Tahoma"/>
          <w:lang w:val="en-GB"/>
        </w:rPr>
        <w:t>Rev</w:t>
      </w:r>
      <w:r w:rsidRPr="00D67742">
        <w:rPr>
          <w:rFonts w:ascii="Tahoma" w:hAnsi="Tahoma" w:cs="Tahoma"/>
        </w:rPr>
        <w:t xml:space="preserve">.1, 31 </w:t>
      </w:r>
      <w:r w:rsidRPr="00A14184">
        <w:rPr>
          <w:rFonts w:ascii="Tahoma" w:hAnsi="Tahoma" w:cs="Tahoma"/>
          <w:lang w:val="en-GB"/>
        </w:rPr>
        <w:t>ILM</w:t>
      </w:r>
      <w:r w:rsidRPr="00D67742">
        <w:rPr>
          <w:rFonts w:ascii="Tahoma" w:hAnsi="Tahoma" w:cs="Tahoma"/>
        </w:rPr>
        <w:t xml:space="preserve"> (1992), </w:t>
      </w:r>
      <w:r w:rsidRPr="00A14184">
        <w:rPr>
          <w:rFonts w:ascii="Tahoma" w:hAnsi="Tahoma" w:cs="Tahoma"/>
        </w:rPr>
        <w:t>σ</w:t>
      </w:r>
      <w:r w:rsidRPr="00D67742">
        <w:rPr>
          <w:rFonts w:ascii="Tahoma" w:hAnsi="Tahoma" w:cs="Tahoma"/>
        </w:rPr>
        <w:t>. 876</w:t>
      </w:r>
    </w:p>
  </w:footnote>
  <w:footnote w:id="11">
    <w:p w:rsidR="00D67742" w:rsidRPr="00A14184" w:rsidRDefault="00D67742" w:rsidP="00D67742">
      <w:pPr>
        <w:pStyle w:val="FootnoteText"/>
        <w:rPr>
          <w:rFonts w:ascii="Tahoma" w:hAnsi="Tahoma" w:cs="Tahoma"/>
        </w:rPr>
      </w:pPr>
      <w:r w:rsidRPr="00A14184">
        <w:rPr>
          <w:rStyle w:val="FootnoteReference"/>
          <w:rFonts w:ascii="Tahoma" w:hAnsi="Tahoma" w:cs="Tahoma"/>
        </w:rPr>
        <w:footnoteRef/>
      </w:r>
      <w:r w:rsidRPr="00A14184">
        <w:rPr>
          <w:rFonts w:ascii="Tahoma" w:hAnsi="Tahoma" w:cs="Tahoma"/>
        </w:rPr>
        <w:t xml:space="preserve"> </w:t>
      </w:r>
      <w:r w:rsidRPr="003B1185">
        <w:rPr>
          <w:rFonts w:ascii="Tahoma" w:hAnsi="Tahoma" w:cs="Tahoma"/>
          <w:i/>
          <w:lang w:val="en-US"/>
        </w:rPr>
        <w:t>Ibid</w:t>
      </w:r>
      <w:r w:rsidRPr="00A14184">
        <w:rPr>
          <w:rFonts w:ascii="Tahoma" w:hAnsi="Tahoma" w:cs="Tahoma"/>
        </w:rPr>
        <w:t>., Αρχή 15.</w:t>
      </w:r>
    </w:p>
  </w:footnote>
  <w:footnote w:id="12">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Διεξοδικά για τις έννοιες του κινδύνου, των πηγών κινδύνου και τη σχέση τους με την επιστημονική αβεβαιότητα, αναφερόμαστε στο Δεύτερο Μέρος. </w:t>
      </w:r>
    </w:p>
  </w:footnote>
  <w:footnote w:id="13">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Αναλυτικότερα για την επιστημονική αβεβαιότητα, βλ., supra.</w:t>
      </w:r>
    </w:p>
  </w:footnote>
  <w:footnote w:id="14">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3B1185">
        <w:rPr>
          <w:rFonts w:ascii="Tahoma" w:hAnsi="Tahoma" w:cs="Tahoma"/>
          <w:i/>
          <w:lang w:val="en-US"/>
        </w:rPr>
        <w:t>P. Sandin</w:t>
      </w:r>
      <w:r w:rsidRPr="00A14184">
        <w:rPr>
          <w:rFonts w:ascii="Tahoma" w:hAnsi="Tahoma" w:cs="Tahoma"/>
          <w:lang w:val="en-US"/>
        </w:rPr>
        <w:t>, “Dimensions of the Precautionary Principle”, Human and Ecological Ris</w:t>
      </w:r>
      <w:r>
        <w:rPr>
          <w:rFonts w:ascii="Tahoma" w:hAnsi="Tahoma" w:cs="Tahoma"/>
          <w:lang w:val="en-US"/>
        </w:rPr>
        <w:t>k Assessment, Vol. 5, 1999,</w:t>
      </w:r>
      <w:r w:rsidRPr="00A14184">
        <w:rPr>
          <w:rFonts w:ascii="Tahoma" w:hAnsi="Tahoma" w:cs="Tahoma"/>
          <w:lang w:val="en-US"/>
        </w:rPr>
        <w:t xml:space="preserve"> </w:t>
      </w:r>
      <w:r w:rsidRPr="00A14184">
        <w:rPr>
          <w:rFonts w:ascii="Tahoma" w:hAnsi="Tahoma" w:cs="Tahoma"/>
        </w:rPr>
        <w:t>σ</w:t>
      </w:r>
      <w:r w:rsidRPr="00A14184">
        <w:rPr>
          <w:rFonts w:ascii="Tahoma" w:hAnsi="Tahoma" w:cs="Tahoma"/>
          <w:lang w:val="en-GB"/>
        </w:rPr>
        <w:t xml:space="preserve">. 889. </w:t>
      </w:r>
      <w:r w:rsidRPr="003B1185">
        <w:rPr>
          <w:rFonts w:ascii="Tahoma" w:hAnsi="Tahoma" w:cs="Tahoma"/>
          <w:i/>
          <w:lang w:val="en-GB"/>
        </w:rPr>
        <w:t>P</w:t>
      </w:r>
      <w:r w:rsidRPr="003B1185">
        <w:rPr>
          <w:rFonts w:ascii="Tahoma" w:hAnsi="Tahoma" w:cs="Tahoma"/>
          <w:i/>
          <w:lang w:val="en-US"/>
        </w:rPr>
        <w:t>. Sandin, M. Peterson, S.O. Hanson, C. Ruden, A. Juthe</w:t>
      </w:r>
      <w:r w:rsidRPr="00A14184">
        <w:rPr>
          <w:rFonts w:ascii="Tahoma" w:hAnsi="Tahoma" w:cs="Tahoma"/>
          <w:lang w:val="en-US"/>
        </w:rPr>
        <w:t>, “Five Charges Against the Precautionary Principle”, Journal of Risk Rese</w:t>
      </w:r>
      <w:r>
        <w:rPr>
          <w:rFonts w:ascii="Tahoma" w:hAnsi="Tahoma" w:cs="Tahoma"/>
          <w:lang w:val="en-US"/>
        </w:rPr>
        <w:t>arch, Vol. 5, 2002,</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xml:space="preserve">. 290. </w:t>
      </w:r>
    </w:p>
  </w:footnote>
  <w:footnote w:id="15">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Pr>
          <w:rFonts w:ascii="Tahoma" w:hAnsi="Tahoma" w:cs="Tahoma"/>
          <w:lang w:val="en-US"/>
        </w:rPr>
        <w:t xml:space="preserve"> </w:t>
      </w:r>
      <w:r w:rsidRPr="008E37C0">
        <w:rPr>
          <w:rFonts w:ascii="Tahoma" w:hAnsi="Tahoma" w:cs="Tahoma"/>
          <w:i/>
          <w:lang w:val="en-US"/>
        </w:rPr>
        <w:t>J.S. Applegate</w:t>
      </w:r>
      <w:r w:rsidRPr="00A14184">
        <w:rPr>
          <w:rFonts w:ascii="Tahoma" w:hAnsi="Tahoma" w:cs="Tahoma"/>
          <w:lang w:val="en-US"/>
        </w:rPr>
        <w:t xml:space="preserve">, </w:t>
      </w:r>
      <w:r w:rsidRPr="00A14184">
        <w:rPr>
          <w:rFonts w:ascii="Tahoma" w:hAnsi="Tahoma" w:cs="Tahoma"/>
          <w:lang w:val="en-GB"/>
        </w:rPr>
        <w:t>“</w:t>
      </w:r>
      <w:r w:rsidRPr="00A14184">
        <w:rPr>
          <w:rFonts w:ascii="Tahoma" w:hAnsi="Tahoma" w:cs="Tahoma"/>
          <w:lang w:val="en-US"/>
        </w:rPr>
        <w:t xml:space="preserve">The Prometheus Principle: Using the Precautionary Principle to Harmonize the Regulation of Genetically Modified Organisms”, </w:t>
      </w:r>
      <w:smartTag w:uri="urn:schemas-microsoft-com:office:smarttags" w:element="State">
        <w:smartTag w:uri="urn:schemas-microsoft-com:office:smarttags" w:element="place">
          <w:r w:rsidRPr="00A14184">
            <w:rPr>
              <w:rFonts w:ascii="Tahoma" w:hAnsi="Tahoma" w:cs="Tahoma"/>
              <w:lang w:val="en-US"/>
            </w:rPr>
            <w:t>Indiana</w:t>
          </w:r>
        </w:smartTag>
      </w:smartTag>
      <w:r w:rsidRPr="00A14184">
        <w:rPr>
          <w:rFonts w:ascii="Tahoma" w:hAnsi="Tahoma" w:cs="Tahoma"/>
          <w:lang w:val="en-US"/>
        </w:rPr>
        <w:t xml:space="preserve"> Journal of Global Legal Studies, Vol. 9, 2001, </w:t>
      </w:r>
      <w:r w:rsidRPr="00A14184">
        <w:rPr>
          <w:rFonts w:ascii="Tahoma" w:hAnsi="Tahoma" w:cs="Tahoma"/>
        </w:rPr>
        <w:t>σ</w:t>
      </w:r>
      <w:r w:rsidRPr="00A14184">
        <w:rPr>
          <w:rFonts w:ascii="Tahoma" w:hAnsi="Tahoma" w:cs="Tahoma"/>
          <w:lang w:val="en-US"/>
        </w:rPr>
        <w:t>. 249.</w:t>
      </w:r>
    </w:p>
  </w:footnote>
  <w:footnote w:id="16">
    <w:p w:rsidR="00D67742" w:rsidRPr="00A14184" w:rsidRDefault="00D67742" w:rsidP="00D67742">
      <w:pPr>
        <w:pStyle w:val="FootnoteText"/>
        <w:jc w:val="both"/>
        <w:rPr>
          <w:rFonts w:ascii="Tahoma" w:hAnsi="Tahoma" w:cs="Tahoma"/>
          <w:lang w:val="en-US"/>
        </w:rPr>
      </w:pPr>
      <w:r w:rsidRPr="00A14184">
        <w:rPr>
          <w:rStyle w:val="FootnoteReference"/>
          <w:rFonts w:ascii="Tahoma" w:hAnsi="Tahoma" w:cs="Tahoma"/>
        </w:rPr>
        <w:footnoteRef/>
      </w:r>
      <w:r w:rsidRPr="00193D2F">
        <w:rPr>
          <w:rFonts w:ascii="Tahoma" w:hAnsi="Tahoma" w:cs="Tahoma"/>
          <w:lang w:val="fr-FR"/>
        </w:rPr>
        <w:t xml:space="preserve"> </w:t>
      </w:r>
      <w:r w:rsidRPr="008E37C0">
        <w:rPr>
          <w:rFonts w:ascii="Tahoma" w:hAnsi="Tahoma" w:cs="Tahoma"/>
          <w:i/>
          <w:lang w:val="fr-FR"/>
        </w:rPr>
        <w:t>Ibid</w:t>
      </w:r>
      <w:r w:rsidRPr="00193D2F">
        <w:rPr>
          <w:rFonts w:ascii="Tahoma" w:hAnsi="Tahoma" w:cs="Tahoma"/>
          <w:lang w:val="fr-FR"/>
        </w:rPr>
        <w:t xml:space="preserve">., </w:t>
      </w:r>
      <w:r w:rsidRPr="00A14184">
        <w:rPr>
          <w:rFonts w:ascii="Tahoma" w:hAnsi="Tahoma" w:cs="Tahoma"/>
        </w:rPr>
        <w:t>σ</w:t>
      </w:r>
      <w:r w:rsidRPr="00193D2F">
        <w:rPr>
          <w:rFonts w:ascii="Tahoma" w:hAnsi="Tahoma" w:cs="Tahoma"/>
          <w:lang w:val="fr-FR"/>
        </w:rPr>
        <w:t xml:space="preserve">. 250. </w:t>
      </w:r>
      <w:r w:rsidRPr="008E37C0">
        <w:rPr>
          <w:rFonts w:ascii="Tahoma" w:hAnsi="Tahoma" w:cs="Tahoma"/>
          <w:i/>
          <w:lang w:val="fr-FR"/>
        </w:rPr>
        <w:t>C. Noiville</w:t>
      </w:r>
      <w:r>
        <w:rPr>
          <w:rFonts w:ascii="Tahoma" w:hAnsi="Tahoma" w:cs="Tahoma"/>
          <w:lang w:val="fr-FR"/>
        </w:rPr>
        <w:t>, ‘‘</w:t>
      </w:r>
      <w:r w:rsidRPr="00A14184">
        <w:rPr>
          <w:rFonts w:ascii="Tahoma" w:hAnsi="Tahoma" w:cs="Tahoma"/>
          <w:lang w:val="fr-FR"/>
        </w:rPr>
        <w:t xml:space="preserve">Principe de précaution et Organisation mondiale du commerce. Le cas du </w:t>
      </w:r>
      <w:r>
        <w:rPr>
          <w:rFonts w:ascii="Tahoma" w:hAnsi="Tahoma" w:cs="Tahoma"/>
          <w:lang w:val="fr-FR"/>
        </w:rPr>
        <w:t>commerce alimentaire’’</w:t>
      </w:r>
      <w:r w:rsidRPr="00A14184">
        <w:rPr>
          <w:rFonts w:ascii="Tahoma" w:hAnsi="Tahoma" w:cs="Tahoma"/>
          <w:lang w:val="fr-FR"/>
        </w:rPr>
        <w:t>, Journal d</w:t>
      </w:r>
      <w:r>
        <w:rPr>
          <w:rFonts w:ascii="Tahoma" w:hAnsi="Tahoma" w:cs="Tahoma"/>
          <w:lang w:val="fr-FR"/>
        </w:rPr>
        <w:t>u droit international, Vol. 127</w:t>
      </w:r>
      <w:r w:rsidRPr="00A14184">
        <w:rPr>
          <w:rFonts w:ascii="Tahoma" w:hAnsi="Tahoma" w:cs="Tahoma"/>
          <w:lang w:val="fr-FR"/>
        </w:rPr>
        <w:t xml:space="preserve">(2), 2000, </w:t>
      </w:r>
      <w:r w:rsidRPr="00A14184">
        <w:rPr>
          <w:rFonts w:ascii="Tahoma" w:hAnsi="Tahoma" w:cs="Tahoma"/>
        </w:rPr>
        <w:t>σ</w:t>
      </w:r>
      <w:r w:rsidRPr="00A14184">
        <w:rPr>
          <w:rFonts w:ascii="Tahoma" w:hAnsi="Tahoma" w:cs="Tahoma"/>
          <w:lang w:val="fr-FR"/>
        </w:rPr>
        <w:t xml:space="preserve">. 276. </w:t>
      </w:r>
      <w:r w:rsidRPr="008E37C0">
        <w:rPr>
          <w:rFonts w:ascii="Tahoma" w:hAnsi="Tahoma" w:cs="Tahoma"/>
          <w:i/>
          <w:lang w:val="en-US"/>
        </w:rPr>
        <w:t>V.R. Walker</w:t>
      </w:r>
      <w:r w:rsidRPr="00A14184">
        <w:rPr>
          <w:rFonts w:ascii="Tahoma" w:hAnsi="Tahoma" w:cs="Tahoma"/>
          <w:lang w:val="en-US"/>
        </w:rPr>
        <w:t>, “Keeping the WTO from Becoming the ‘’World Trans-science Organization: Scientific Uncertainty Science Policy, and Factfinding in the Growth Hormones Dispute”, Cornell International Law Journ</w:t>
      </w:r>
      <w:r>
        <w:rPr>
          <w:rFonts w:ascii="Tahoma" w:hAnsi="Tahoma" w:cs="Tahoma"/>
          <w:lang w:val="en-US"/>
        </w:rPr>
        <w:t>al, Vol. 31</w:t>
      </w:r>
      <w:r w:rsidRPr="00A14184">
        <w:rPr>
          <w:rFonts w:ascii="Tahoma" w:hAnsi="Tahoma" w:cs="Tahoma"/>
          <w:lang w:val="en-GB"/>
        </w:rPr>
        <w:t>(</w:t>
      </w:r>
      <w:r w:rsidRPr="00A14184">
        <w:rPr>
          <w:rFonts w:ascii="Tahoma" w:hAnsi="Tahoma" w:cs="Tahoma"/>
          <w:lang w:val="en-US"/>
        </w:rPr>
        <w:t>2</w:t>
      </w:r>
      <w:r w:rsidRPr="00A14184">
        <w:rPr>
          <w:rFonts w:ascii="Tahoma" w:hAnsi="Tahoma" w:cs="Tahoma"/>
          <w:lang w:val="en-GB"/>
        </w:rPr>
        <w:t>)</w:t>
      </w:r>
      <w:r w:rsidRPr="00A14184">
        <w:rPr>
          <w:rFonts w:ascii="Tahoma" w:hAnsi="Tahoma" w:cs="Tahoma"/>
          <w:lang w:val="en-US"/>
        </w:rPr>
        <w:t xml:space="preserve">, 1998, </w:t>
      </w:r>
      <w:r w:rsidRPr="00A14184">
        <w:rPr>
          <w:rFonts w:ascii="Tahoma" w:hAnsi="Tahoma" w:cs="Tahoma"/>
        </w:rPr>
        <w:t>σ</w:t>
      </w:r>
      <w:r w:rsidRPr="00A14184">
        <w:rPr>
          <w:rFonts w:ascii="Tahoma" w:hAnsi="Tahoma" w:cs="Tahoma"/>
          <w:lang w:val="en-US"/>
        </w:rPr>
        <w:t xml:space="preserve">. 305.  </w:t>
      </w:r>
    </w:p>
  </w:footnote>
  <w:footnote w:id="17">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lang w:val="en-GB"/>
        </w:rPr>
        <w:t xml:space="preserve"> </w:t>
      </w:r>
      <w:r w:rsidRPr="008E37C0">
        <w:rPr>
          <w:rFonts w:ascii="Tahoma" w:hAnsi="Tahoma" w:cs="Tahoma"/>
          <w:i/>
          <w:lang w:val="en-GB"/>
        </w:rPr>
        <w:t>D.E. Adelman</w:t>
      </w:r>
      <w:r w:rsidRPr="00A14184">
        <w:rPr>
          <w:rFonts w:ascii="Tahoma" w:hAnsi="Tahoma" w:cs="Tahoma"/>
          <w:lang w:val="en-GB"/>
        </w:rPr>
        <w:t>, “</w:t>
      </w:r>
      <w:r w:rsidRPr="00A14184">
        <w:rPr>
          <w:rFonts w:ascii="Tahoma" w:hAnsi="Tahoma" w:cs="Tahoma"/>
          <w:lang w:val="en-US"/>
        </w:rPr>
        <w:t>Harmonizing Methods of Scientific Inference with the Precautionary Principle: Oportunities and Constrains”, Environmental Law Reporter, News &amp; Analysi</w:t>
      </w:r>
      <w:r>
        <w:rPr>
          <w:rFonts w:ascii="Tahoma" w:hAnsi="Tahoma" w:cs="Tahoma"/>
          <w:lang w:val="en-US"/>
        </w:rPr>
        <w:t>s, Vol. 34(2), 2004,</w:t>
      </w:r>
      <w:r w:rsidRPr="00A14184">
        <w:rPr>
          <w:rFonts w:ascii="Tahoma" w:hAnsi="Tahoma" w:cs="Tahoma"/>
          <w:lang w:val="en-US"/>
        </w:rPr>
        <w:t xml:space="preserve"> </w:t>
      </w:r>
      <w:r w:rsidRPr="00A14184">
        <w:rPr>
          <w:rFonts w:ascii="Tahoma" w:hAnsi="Tahoma" w:cs="Tahoma"/>
        </w:rPr>
        <w:t>σ</w:t>
      </w:r>
      <w:r w:rsidRPr="00A14184">
        <w:rPr>
          <w:rFonts w:ascii="Tahoma" w:hAnsi="Tahoma" w:cs="Tahoma"/>
          <w:lang w:val="en-GB"/>
        </w:rPr>
        <w:t xml:space="preserve">. 10134. </w:t>
      </w:r>
      <w:r w:rsidRPr="008E37C0">
        <w:rPr>
          <w:rFonts w:ascii="Tahoma" w:hAnsi="Tahoma" w:cs="Tahoma"/>
          <w:i/>
          <w:lang w:val="en-US"/>
        </w:rPr>
        <w:t>S. Kolitch</w:t>
      </w:r>
      <w:r w:rsidRPr="00A14184">
        <w:rPr>
          <w:rFonts w:ascii="Tahoma" w:hAnsi="Tahoma" w:cs="Tahoma"/>
          <w:lang w:val="en-US"/>
        </w:rPr>
        <w:t>, “The environmental and public health impacts of U.S. Patent Law: Making the case for incorporating a precautionary principle”, Environment</w:t>
      </w:r>
      <w:r>
        <w:rPr>
          <w:rFonts w:ascii="Tahoma" w:hAnsi="Tahoma" w:cs="Tahoma"/>
          <w:lang w:val="en-US"/>
        </w:rPr>
        <w:t>al Law, Vol. 36, 2006,</w:t>
      </w:r>
      <w:r w:rsidRPr="00A14184">
        <w:rPr>
          <w:rFonts w:ascii="Tahoma" w:hAnsi="Tahoma" w:cs="Tahoma"/>
          <w:lang w:val="en-US"/>
        </w:rPr>
        <w:t xml:space="preserve"> </w:t>
      </w:r>
      <w:r w:rsidRPr="00A14184">
        <w:rPr>
          <w:rFonts w:ascii="Tahoma" w:hAnsi="Tahoma" w:cs="Tahoma"/>
        </w:rPr>
        <w:t>σ</w:t>
      </w:r>
      <w:r w:rsidRPr="00A14184">
        <w:rPr>
          <w:rFonts w:ascii="Tahoma" w:hAnsi="Tahoma" w:cs="Tahoma"/>
          <w:lang w:val="en-GB"/>
        </w:rPr>
        <w:t xml:space="preserve">. 240. </w:t>
      </w:r>
      <w:r w:rsidRPr="00A14184">
        <w:rPr>
          <w:rFonts w:ascii="Tahoma" w:hAnsi="Tahoma" w:cs="Tahoma"/>
        </w:rPr>
        <w:t xml:space="preserve">Για την έννοια των λαθών Τύπου Ι και Τύπου ΙΙ, βλ. </w:t>
      </w:r>
      <w:r w:rsidRPr="00A14184">
        <w:rPr>
          <w:rFonts w:ascii="Tahoma" w:hAnsi="Tahoma" w:cs="Tahoma"/>
          <w:lang w:val="en-US"/>
        </w:rPr>
        <w:t>supra</w:t>
      </w:r>
      <w:r w:rsidRPr="00A14184">
        <w:rPr>
          <w:rFonts w:ascii="Tahoma" w:hAnsi="Tahoma" w:cs="Tahoma"/>
        </w:rPr>
        <w:t xml:space="preserve">. </w:t>
      </w:r>
    </w:p>
  </w:footnote>
  <w:footnote w:id="18">
    <w:p w:rsidR="00D67742" w:rsidRPr="00A14184" w:rsidRDefault="00D67742" w:rsidP="00D67742">
      <w:pPr>
        <w:pStyle w:val="FootnoteText"/>
        <w:jc w:val="both"/>
        <w:rPr>
          <w:rFonts w:ascii="Tahoma" w:hAnsi="Tahoma" w:cs="Tahoma"/>
          <w:lang w:val="en-US"/>
        </w:rPr>
      </w:pPr>
      <w:r w:rsidRPr="00A14184">
        <w:rPr>
          <w:rStyle w:val="FootnoteReference"/>
          <w:rFonts w:ascii="Tahoma" w:hAnsi="Tahoma" w:cs="Tahoma"/>
        </w:rPr>
        <w:footnoteRef/>
      </w:r>
      <w:r>
        <w:rPr>
          <w:rFonts w:ascii="Tahoma" w:hAnsi="Tahoma" w:cs="Tahoma"/>
          <w:lang w:val="en-US"/>
        </w:rPr>
        <w:t xml:space="preserve"> </w:t>
      </w:r>
      <w:r w:rsidRPr="002255AB">
        <w:rPr>
          <w:rFonts w:ascii="Tahoma" w:hAnsi="Tahoma" w:cs="Tahoma"/>
          <w:i/>
          <w:lang w:val="en-US"/>
        </w:rPr>
        <w:t>R.A. Posner</w:t>
      </w:r>
      <w:r>
        <w:rPr>
          <w:rFonts w:ascii="Tahoma" w:hAnsi="Tahoma" w:cs="Tahoma"/>
          <w:lang w:val="en-US"/>
        </w:rPr>
        <w:t>, Catastrophe:</w:t>
      </w:r>
      <w:r w:rsidRPr="00A14184">
        <w:rPr>
          <w:rFonts w:ascii="Tahoma" w:hAnsi="Tahoma" w:cs="Tahoma"/>
          <w:lang w:val="en-US"/>
        </w:rPr>
        <w:t xml:space="preserve"> Risk and Response, </w:t>
      </w:r>
      <w:smartTag w:uri="urn:schemas-microsoft-com:office:smarttags" w:element="place">
        <w:smartTag w:uri="urn:schemas-microsoft-com:office:smarttags" w:element="City">
          <w:r w:rsidRPr="00A14184">
            <w:rPr>
              <w:rFonts w:ascii="Tahoma" w:hAnsi="Tahoma" w:cs="Tahoma"/>
              <w:lang w:val="en-US"/>
            </w:rPr>
            <w:t>Oxford</w:t>
          </w:r>
        </w:smartTag>
        <w:r w:rsidRPr="00A14184">
          <w:rPr>
            <w:rFonts w:ascii="Tahoma" w:hAnsi="Tahoma" w:cs="Tahoma"/>
            <w:lang w:val="en-US"/>
          </w:rPr>
          <w:t xml:space="preserve">, </w:t>
        </w:r>
        <w:smartTag w:uri="urn:schemas-microsoft-com:office:smarttags" w:element="State">
          <w:r w:rsidRPr="00A14184">
            <w:rPr>
              <w:rFonts w:ascii="Tahoma" w:hAnsi="Tahoma" w:cs="Tahoma"/>
              <w:lang w:val="en-US"/>
            </w:rPr>
            <w:t>New York</w:t>
          </w:r>
        </w:smartTag>
      </w:smartTag>
      <w:r w:rsidRPr="00A14184">
        <w:rPr>
          <w:rFonts w:ascii="Tahoma" w:hAnsi="Tahoma" w:cs="Tahoma"/>
          <w:lang w:val="en-US"/>
        </w:rPr>
        <w:t xml:space="preserve">, </w:t>
      </w:r>
      <w:smartTag w:uri="urn:schemas-microsoft-com:office:smarttags" w:element="place">
        <w:smartTag w:uri="urn:schemas-microsoft-com:office:smarttags" w:element="PlaceName">
          <w:r w:rsidRPr="00A14184">
            <w:rPr>
              <w:rFonts w:ascii="Tahoma" w:hAnsi="Tahoma" w:cs="Tahoma"/>
              <w:lang w:val="en-US"/>
            </w:rPr>
            <w:t>Oxford</w:t>
          </w:r>
        </w:smartTag>
        <w:r w:rsidRPr="00A14184">
          <w:rPr>
            <w:rFonts w:ascii="Tahoma" w:hAnsi="Tahoma" w:cs="Tahoma"/>
            <w:lang w:val="en-US"/>
          </w:rPr>
          <w:t xml:space="preserve"> </w:t>
        </w:r>
        <w:smartTag w:uri="urn:schemas-microsoft-com:office:smarttags" w:element="PlaceType">
          <w:r w:rsidRPr="00A14184">
            <w:rPr>
              <w:rFonts w:ascii="Tahoma" w:hAnsi="Tahoma" w:cs="Tahoma"/>
              <w:lang w:val="en-US"/>
            </w:rPr>
            <w:t>University</w:t>
          </w:r>
        </w:smartTag>
      </w:smartTag>
      <w:r w:rsidRPr="00A14184">
        <w:rPr>
          <w:rFonts w:ascii="Tahoma" w:hAnsi="Tahoma" w:cs="Tahoma"/>
          <w:lang w:val="en-US"/>
        </w:rPr>
        <w:t xml:space="preserve"> Press, 2004.</w:t>
      </w:r>
    </w:p>
  </w:footnote>
  <w:footnote w:id="19">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US"/>
        </w:rPr>
        <w:t xml:space="preserve"> </w:t>
      </w:r>
      <w:r w:rsidRPr="002255AB">
        <w:rPr>
          <w:rFonts w:ascii="Tahoma" w:hAnsi="Tahoma" w:cs="Tahoma"/>
          <w:i/>
          <w:lang w:val="en-US"/>
        </w:rPr>
        <w:t>C.R. Sunstein</w:t>
      </w:r>
      <w:r w:rsidRPr="00A14184">
        <w:rPr>
          <w:rFonts w:ascii="Tahoma" w:hAnsi="Tahoma" w:cs="Tahoma"/>
          <w:lang w:val="en-US"/>
        </w:rPr>
        <w:t xml:space="preserve">, Laws of Fear,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w:t>
      </w:r>
    </w:p>
  </w:footnote>
  <w:footnote w:id="20">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Γι’</w:t>
      </w:r>
      <w:r>
        <w:rPr>
          <w:rFonts w:ascii="Tahoma" w:hAnsi="Tahoma" w:cs="Tahoma"/>
        </w:rPr>
        <w:t xml:space="preserve"> </w:t>
      </w:r>
      <w:r w:rsidRPr="00A14184">
        <w:rPr>
          <w:rFonts w:ascii="Tahoma" w:hAnsi="Tahoma" w:cs="Tahoma"/>
        </w:rPr>
        <w:t xml:space="preserve">αυτό το θέμα και για τις αντίθετες απόψεις που υπάρχουν, </w:t>
      </w:r>
      <w:r>
        <w:rPr>
          <w:rFonts w:ascii="Tahoma" w:hAnsi="Tahoma" w:cs="Tahoma"/>
        </w:rPr>
        <w:t xml:space="preserve">αναφερόμαστε στο Δεύτερο Μέρος. </w:t>
      </w:r>
      <w:r w:rsidRPr="00A14184">
        <w:rPr>
          <w:rFonts w:ascii="Tahoma" w:hAnsi="Tahoma" w:cs="Tahoma"/>
        </w:rPr>
        <w:t xml:space="preserve">Για τις ανάγκες της συζήτησης στην παρούσα φάση της μελέτης, να τονίσουμε ότι η ανάλυση κόστους/οφέλους καθορίζει το αν θα ληφθούν προληπτικά μέτρα. Τα τελευταία επιτρέπονται όταν το κόστος της λήψης τους είναι ίσο ή μικρότερο από </w:t>
      </w:r>
      <w:r>
        <w:rPr>
          <w:rFonts w:ascii="Tahoma" w:hAnsi="Tahoma" w:cs="Tahoma"/>
        </w:rPr>
        <w:t>το κόστος της μη λήψης τους.</w:t>
      </w:r>
    </w:p>
  </w:footnote>
  <w:footnote w:id="21">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2255AB">
        <w:rPr>
          <w:rFonts w:ascii="Tahoma" w:hAnsi="Tahoma" w:cs="Tahoma"/>
          <w:i/>
          <w:lang w:val="en-US"/>
        </w:rPr>
        <w:t>R.A. Posner</w:t>
      </w:r>
      <w:r w:rsidRPr="00A14184">
        <w:rPr>
          <w:rFonts w:ascii="Tahoma" w:hAnsi="Tahoma" w:cs="Tahoma"/>
          <w:lang w:val="en-US"/>
        </w:rPr>
        <w:t>, Catastrophe</w:t>
      </w:r>
      <w:r w:rsidRPr="00A14184">
        <w:rPr>
          <w:rFonts w:ascii="Tahoma" w:hAnsi="Tahoma" w:cs="Tahoma"/>
          <w:lang w:val="en-GB"/>
        </w:rPr>
        <w:t xml:space="preserve">,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xml:space="preserve">. 140. </w:t>
      </w:r>
      <w:r w:rsidRPr="002255AB">
        <w:rPr>
          <w:rFonts w:ascii="Tahoma" w:hAnsi="Tahoma" w:cs="Tahoma"/>
          <w:i/>
          <w:lang w:val="en-US"/>
        </w:rPr>
        <w:t>C.R. Sunstein</w:t>
      </w:r>
      <w:r w:rsidRPr="00A14184">
        <w:rPr>
          <w:rFonts w:ascii="Tahoma" w:hAnsi="Tahoma" w:cs="Tahoma"/>
          <w:lang w:val="en-US"/>
        </w:rPr>
        <w:t xml:space="preserve">, Laws of Fear,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225.</w:t>
      </w:r>
    </w:p>
  </w:footnote>
  <w:footnote w:id="22">
    <w:p w:rsidR="00D67742" w:rsidRPr="00A14184" w:rsidRDefault="00D67742" w:rsidP="00D67742">
      <w:pPr>
        <w:pStyle w:val="FootnoteText"/>
        <w:rPr>
          <w:rFonts w:ascii="Tahoma" w:hAnsi="Tahoma" w:cs="Tahoma"/>
        </w:rPr>
      </w:pPr>
      <w:r w:rsidRPr="00A14184">
        <w:rPr>
          <w:rStyle w:val="FootnoteReference"/>
          <w:rFonts w:ascii="Tahoma" w:hAnsi="Tahoma" w:cs="Tahoma"/>
        </w:rPr>
        <w:footnoteRef/>
      </w:r>
      <w:r w:rsidRPr="00A14184">
        <w:rPr>
          <w:rFonts w:ascii="Tahoma" w:hAnsi="Tahoma" w:cs="Tahoma"/>
        </w:rPr>
        <w:t xml:space="preserve"> </w:t>
      </w:r>
      <w:r w:rsidRPr="002255AB">
        <w:rPr>
          <w:rFonts w:ascii="Tahoma" w:hAnsi="Tahoma" w:cs="Tahoma"/>
          <w:i/>
          <w:lang w:val="en-US"/>
        </w:rPr>
        <w:t>Ibid</w:t>
      </w:r>
      <w:r w:rsidRPr="002255AB">
        <w:rPr>
          <w:rFonts w:ascii="Tahoma" w:hAnsi="Tahoma" w:cs="Tahoma"/>
          <w:i/>
        </w:rPr>
        <w:t>.</w:t>
      </w:r>
      <w:r w:rsidRPr="00A14184">
        <w:rPr>
          <w:rFonts w:ascii="Tahoma" w:hAnsi="Tahoma" w:cs="Tahoma"/>
        </w:rPr>
        <w:t>, σ. 245 επ. και 224 επ., αντίστοιχα.</w:t>
      </w:r>
    </w:p>
  </w:footnote>
  <w:footnote w:id="23">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2255AB">
        <w:rPr>
          <w:rFonts w:ascii="Tahoma" w:hAnsi="Tahoma" w:cs="Tahoma"/>
          <w:i/>
          <w:lang w:val="en-US"/>
        </w:rPr>
        <w:t>F. Ackerman, L. Heinzerling</w:t>
      </w:r>
      <w:r w:rsidRPr="00A14184">
        <w:rPr>
          <w:rFonts w:ascii="Tahoma" w:hAnsi="Tahoma" w:cs="Tahoma"/>
          <w:lang w:val="en-US"/>
        </w:rPr>
        <w:t xml:space="preserve">, Priceless. On Knowing the Price of Everything and the Value of Nothing, New York, London, New Press, 2004, σ. </w:t>
      </w:r>
      <w:r w:rsidRPr="00A14184">
        <w:rPr>
          <w:rFonts w:ascii="Tahoma" w:hAnsi="Tahoma" w:cs="Tahoma"/>
          <w:lang w:val="en-GB"/>
        </w:rPr>
        <w:t>8-9.</w:t>
      </w:r>
    </w:p>
  </w:footnote>
  <w:footnote w:id="24">
    <w:p w:rsidR="00D67742" w:rsidRPr="006E3E96"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lang w:val="en-GB"/>
        </w:rPr>
        <w:t xml:space="preserve"> </w:t>
      </w:r>
      <w:r w:rsidRPr="00A14184">
        <w:rPr>
          <w:rFonts w:ascii="Tahoma" w:hAnsi="Tahoma" w:cs="Tahoma"/>
        </w:rPr>
        <w:t>Βλ</w:t>
      </w:r>
      <w:r w:rsidRPr="00A14184">
        <w:rPr>
          <w:rFonts w:ascii="Tahoma" w:hAnsi="Tahoma" w:cs="Tahoma"/>
          <w:lang w:val="en-GB"/>
        </w:rPr>
        <w:t xml:space="preserve">., </w:t>
      </w:r>
      <w:r w:rsidRPr="00A14184">
        <w:rPr>
          <w:rFonts w:ascii="Tahoma" w:hAnsi="Tahoma" w:cs="Tahoma"/>
          <w:bCs/>
          <w:lang w:val="en-US"/>
        </w:rPr>
        <w:t>Ministerial Declaration of the Fifth International Conference on the Protection of the North Sea</w:t>
      </w:r>
      <w:r w:rsidRPr="00A14184">
        <w:rPr>
          <w:rFonts w:ascii="Tahoma" w:hAnsi="Tahoma" w:cs="Tahoma"/>
          <w:lang w:val="en-US"/>
        </w:rPr>
        <w:t xml:space="preserve">, Bergen, 20-21 March 2002. </w:t>
      </w:r>
      <w:r w:rsidRPr="00A14184">
        <w:rPr>
          <w:rFonts w:ascii="Tahoma" w:hAnsi="Tahoma" w:cs="Tahoma"/>
        </w:rPr>
        <w:t xml:space="preserve">Το κείμενο είναι διαθέσιμο στο </w:t>
      </w:r>
      <w:hyperlink r:id="rId1" w:history="1">
        <w:r w:rsidRPr="00A14184">
          <w:rPr>
            <w:rStyle w:val="Hyperlink"/>
            <w:rFonts w:ascii="Tahoma" w:hAnsi="Tahoma" w:cs="Tahoma"/>
            <w:lang w:val="en-US"/>
          </w:rPr>
          <w:t>http</w:t>
        </w:r>
        <w:r w:rsidRPr="00A14184">
          <w:rPr>
            <w:rStyle w:val="Hyperlink"/>
            <w:rFonts w:ascii="Tahoma" w:hAnsi="Tahoma" w:cs="Tahoma"/>
          </w:rPr>
          <w:t>://</w:t>
        </w:r>
        <w:r w:rsidRPr="00A14184">
          <w:rPr>
            <w:rStyle w:val="Hyperlink"/>
            <w:rFonts w:ascii="Tahoma" w:hAnsi="Tahoma" w:cs="Tahoma"/>
            <w:lang w:val="en-US"/>
          </w:rPr>
          <w:t>odin</w:t>
        </w:r>
        <w:r w:rsidRPr="00A14184">
          <w:rPr>
            <w:rStyle w:val="Hyperlink"/>
            <w:rFonts w:ascii="Tahoma" w:hAnsi="Tahoma" w:cs="Tahoma"/>
          </w:rPr>
          <w:t>.</w:t>
        </w:r>
        <w:r w:rsidRPr="00A14184">
          <w:rPr>
            <w:rStyle w:val="Hyperlink"/>
            <w:rFonts w:ascii="Tahoma" w:hAnsi="Tahoma" w:cs="Tahoma"/>
            <w:lang w:val="en-US"/>
          </w:rPr>
          <w:t>dep</w:t>
        </w:r>
        <w:r w:rsidRPr="00A14184">
          <w:rPr>
            <w:rStyle w:val="Hyperlink"/>
            <w:rFonts w:ascii="Tahoma" w:hAnsi="Tahoma" w:cs="Tahoma"/>
          </w:rPr>
          <w:t>.</w:t>
        </w:r>
        <w:r w:rsidRPr="00A14184">
          <w:rPr>
            <w:rStyle w:val="Hyperlink"/>
            <w:rFonts w:ascii="Tahoma" w:hAnsi="Tahoma" w:cs="Tahoma"/>
            <w:lang w:val="en-US"/>
          </w:rPr>
          <w:t>no</w:t>
        </w:r>
        <w:r w:rsidRPr="00A14184">
          <w:rPr>
            <w:rStyle w:val="Hyperlink"/>
            <w:rFonts w:ascii="Tahoma" w:hAnsi="Tahoma" w:cs="Tahoma"/>
          </w:rPr>
          <w:t>/</w:t>
        </w:r>
        <w:r w:rsidRPr="00A14184">
          <w:rPr>
            <w:rStyle w:val="Hyperlink"/>
            <w:rFonts w:ascii="Tahoma" w:hAnsi="Tahoma" w:cs="Tahoma"/>
            <w:lang w:val="en-US"/>
          </w:rPr>
          <w:t>archive</w:t>
        </w:r>
        <w:r w:rsidRPr="00A14184">
          <w:rPr>
            <w:rStyle w:val="Hyperlink"/>
            <w:rFonts w:ascii="Tahoma" w:hAnsi="Tahoma" w:cs="Tahoma"/>
          </w:rPr>
          <w:t>/</w:t>
        </w:r>
        <w:r w:rsidRPr="00A14184">
          <w:rPr>
            <w:rStyle w:val="Hyperlink"/>
            <w:rFonts w:ascii="Tahoma" w:hAnsi="Tahoma" w:cs="Tahoma"/>
            <w:lang w:val="en-US"/>
          </w:rPr>
          <w:t>mdvedlegg</w:t>
        </w:r>
        <w:r w:rsidRPr="00A14184">
          <w:rPr>
            <w:rStyle w:val="Hyperlink"/>
            <w:rFonts w:ascii="Tahoma" w:hAnsi="Tahoma" w:cs="Tahoma"/>
          </w:rPr>
          <w:t>/01/11/</w:t>
        </w:r>
        <w:r w:rsidRPr="00A14184">
          <w:rPr>
            <w:rStyle w:val="Hyperlink"/>
            <w:rFonts w:ascii="Tahoma" w:hAnsi="Tahoma" w:cs="Tahoma"/>
            <w:lang w:val="en-US"/>
          </w:rPr>
          <w:t>Engel</w:t>
        </w:r>
        <w:r w:rsidRPr="00A14184">
          <w:rPr>
            <w:rStyle w:val="Hyperlink"/>
            <w:rFonts w:ascii="Tahoma" w:hAnsi="Tahoma" w:cs="Tahoma"/>
          </w:rPr>
          <w:t>069.</w:t>
        </w:r>
        <w:r w:rsidRPr="00A14184">
          <w:rPr>
            <w:rStyle w:val="Hyperlink"/>
            <w:rFonts w:ascii="Tahoma" w:hAnsi="Tahoma" w:cs="Tahoma"/>
            <w:lang w:val="en-US"/>
          </w:rPr>
          <w:t>pdf</w:t>
        </w:r>
      </w:hyperlink>
      <w:r>
        <w:rPr>
          <w:rFonts w:ascii="Tahoma" w:hAnsi="Tahoma" w:cs="Tahoma"/>
        </w:rPr>
        <w:t xml:space="preserve"> </w:t>
      </w:r>
    </w:p>
  </w:footnote>
  <w:footnote w:id="25">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2255AB">
        <w:rPr>
          <w:rFonts w:ascii="Tahoma" w:hAnsi="Tahoma" w:cs="Tahoma"/>
          <w:i/>
          <w:lang w:val="en-GB"/>
        </w:rPr>
        <w:t>S.F. Arnold et al</w:t>
      </w:r>
      <w:r w:rsidRPr="00A14184">
        <w:rPr>
          <w:rFonts w:ascii="Tahoma" w:hAnsi="Tahoma" w:cs="Tahoma"/>
          <w:lang w:val="en-GB"/>
        </w:rPr>
        <w:t>., “Synergistic Activation of Estrogen Receptor with Combinations of Environmental Chemicals”</w:t>
      </w:r>
      <w:r>
        <w:rPr>
          <w:rFonts w:ascii="Tahoma" w:hAnsi="Tahoma" w:cs="Tahoma"/>
          <w:lang w:val="en-GB"/>
        </w:rPr>
        <w:t>, Science, Vol. 272, 1996,</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1489.</w:t>
      </w:r>
    </w:p>
  </w:footnote>
  <w:footnote w:id="26">
    <w:p w:rsidR="00D67742" w:rsidRPr="00A14184" w:rsidRDefault="00D67742" w:rsidP="00D67742">
      <w:pPr>
        <w:pStyle w:val="FootnoteText"/>
        <w:rPr>
          <w:rFonts w:ascii="Tahoma" w:hAnsi="Tahoma" w:cs="Tahoma"/>
        </w:rPr>
      </w:pPr>
      <w:r w:rsidRPr="00A14184">
        <w:rPr>
          <w:rStyle w:val="FootnoteReference"/>
          <w:rFonts w:ascii="Tahoma" w:hAnsi="Tahoma" w:cs="Tahoma"/>
        </w:rPr>
        <w:footnoteRef/>
      </w:r>
      <w:r w:rsidRPr="00A14184">
        <w:rPr>
          <w:rFonts w:ascii="Tahoma" w:hAnsi="Tahoma" w:cs="Tahoma"/>
        </w:rPr>
        <w:t xml:space="preserve"> Υπόθεση </w:t>
      </w:r>
      <w:r w:rsidRPr="00A14184">
        <w:rPr>
          <w:rFonts w:ascii="Tahoma" w:hAnsi="Tahoma" w:cs="Tahoma"/>
          <w:lang w:val="en-GB"/>
        </w:rPr>
        <w:t>Artegodan</w:t>
      </w:r>
      <w:r w:rsidRPr="00A14184">
        <w:rPr>
          <w:rFonts w:ascii="Tahoma" w:hAnsi="Tahoma" w:cs="Tahoma"/>
        </w:rPr>
        <w:t xml:space="preserve">, ό. π., παρ. 186, Υπόθεση </w:t>
      </w:r>
      <w:r w:rsidRPr="00A14184">
        <w:rPr>
          <w:rFonts w:ascii="Tahoma" w:hAnsi="Tahoma" w:cs="Tahoma"/>
          <w:lang w:val="en-US"/>
        </w:rPr>
        <w:t>Pfizer</w:t>
      </w:r>
      <w:r w:rsidRPr="00A14184">
        <w:rPr>
          <w:rFonts w:ascii="Tahoma" w:hAnsi="Tahoma" w:cs="Tahoma"/>
        </w:rPr>
        <w:t>, ό.π., παρ. 151.</w:t>
      </w:r>
    </w:p>
  </w:footnote>
  <w:footnote w:id="27">
    <w:p w:rsidR="00D67742" w:rsidRPr="00A14184" w:rsidRDefault="00D67742" w:rsidP="00D67742">
      <w:pPr>
        <w:pStyle w:val="FootnoteText"/>
        <w:rPr>
          <w:rFonts w:ascii="Tahoma" w:hAnsi="Tahoma" w:cs="Tahoma"/>
        </w:rPr>
      </w:pPr>
      <w:r w:rsidRPr="00A14184">
        <w:rPr>
          <w:rStyle w:val="FootnoteReference"/>
          <w:rFonts w:ascii="Tahoma" w:hAnsi="Tahoma" w:cs="Tahoma"/>
        </w:rPr>
        <w:footnoteRef/>
      </w:r>
      <w:r w:rsidRPr="00A14184">
        <w:rPr>
          <w:rFonts w:ascii="Tahoma" w:hAnsi="Tahoma" w:cs="Tahoma"/>
        </w:rPr>
        <w:t xml:space="preserve"> Υπόθεση </w:t>
      </w:r>
      <w:r w:rsidRPr="00A14184">
        <w:rPr>
          <w:rFonts w:ascii="Tahoma" w:hAnsi="Tahoma" w:cs="Tahoma"/>
          <w:lang w:val="en-US"/>
        </w:rPr>
        <w:t>Pfizer</w:t>
      </w:r>
      <w:r w:rsidRPr="00A14184">
        <w:rPr>
          <w:rFonts w:ascii="Tahoma" w:hAnsi="Tahoma" w:cs="Tahoma"/>
        </w:rPr>
        <w:t>, ό.π., παρ. 155-156.</w:t>
      </w:r>
    </w:p>
  </w:footnote>
  <w:footnote w:id="28">
    <w:p w:rsidR="00D67742" w:rsidRPr="00A50BB6" w:rsidRDefault="00D67742" w:rsidP="00D67742">
      <w:pPr>
        <w:pStyle w:val="FootnoteText"/>
        <w:jc w:val="both"/>
        <w:rPr>
          <w:lang w:val="en-GB"/>
        </w:rPr>
      </w:pPr>
      <w:r>
        <w:rPr>
          <w:rStyle w:val="FootnoteReference"/>
        </w:rPr>
        <w:footnoteRef/>
      </w:r>
      <w:r w:rsidRPr="00A50BB6">
        <w:t xml:space="preserve"> </w:t>
      </w:r>
      <w:r>
        <w:rPr>
          <w:rFonts w:ascii="Tahoma" w:hAnsi="Tahoma" w:cs="Tahoma"/>
        </w:rPr>
        <w:t>Πρέπει</w:t>
      </w:r>
      <w:r w:rsidRPr="00A50BB6">
        <w:rPr>
          <w:rFonts w:ascii="Tahoma" w:hAnsi="Tahoma" w:cs="Tahoma"/>
        </w:rPr>
        <w:t xml:space="preserve"> </w:t>
      </w:r>
      <w:r>
        <w:rPr>
          <w:rFonts w:ascii="Tahoma" w:hAnsi="Tahoma" w:cs="Tahoma"/>
        </w:rPr>
        <w:t>να</w:t>
      </w:r>
      <w:r w:rsidRPr="00A50BB6">
        <w:rPr>
          <w:rFonts w:ascii="Tahoma" w:hAnsi="Tahoma" w:cs="Tahoma"/>
        </w:rPr>
        <w:t xml:space="preserve"> </w:t>
      </w:r>
      <w:r>
        <w:rPr>
          <w:rFonts w:ascii="Tahoma" w:hAnsi="Tahoma" w:cs="Tahoma"/>
        </w:rPr>
        <w:t>σημειώσουμε</w:t>
      </w:r>
      <w:r w:rsidRPr="00A50BB6">
        <w:rPr>
          <w:rFonts w:ascii="Tahoma" w:hAnsi="Tahoma" w:cs="Tahoma"/>
        </w:rPr>
        <w:t xml:space="preserve"> </w:t>
      </w:r>
      <w:r>
        <w:rPr>
          <w:rFonts w:ascii="Tahoma" w:hAnsi="Tahoma" w:cs="Tahoma"/>
        </w:rPr>
        <w:t>ότι</w:t>
      </w:r>
      <w:r w:rsidRPr="00A50BB6">
        <w:rPr>
          <w:rFonts w:ascii="Tahoma" w:hAnsi="Tahoma" w:cs="Tahoma"/>
        </w:rPr>
        <w:t xml:space="preserve"> </w:t>
      </w:r>
      <w:r>
        <w:rPr>
          <w:rFonts w:ascii="Tahoma" w:hAnsi="Tahoma" w:cs="Tahoma"/>
        </w:rPr>
        <w:t>αυτός</w:t>
      </w:r>
      <w:r w:rsidRPr="00A50BB6">
        <w:rPr>
          <w:rFonts w:ascii="Tahoma" w:hAnsi="Tahoma" w:cs="Tahoma"/>
        </w:rPr>
        <w:t xml:space="preserve"> </w:t>
      </w:r>
      <w:r>
        <w:rPr>
          <w:rFonts w:ascii="Tahoma" w:hAnsi="Tahoma" w:cs="Tahoma"/>
        </w:rPr>
        <w:t xml:space="preserve">ήταν ο βασικότερος ισχυρισμός τον οποίο προέβαλε η ΕΕ στον ΠΟΕ στην υπόθεση των ΓΤΟ. Βλ., </w:t>
      </w:r>
      <w:r w:rsidRPr="00652800">
        <w:rPr>
          <w:rFonts w:ascii="Tahoma" w:hAnsi="Tahoma" w:cs="Tahoma"/>
          <w:i/>
          <w:lang w:val="en-US"/>
        </w:rPr>
        <w:t>Panel</w:t>
      </w:r>
      <w:r w:rsidRPr="00A50BB6">
        <w:rPr>
          <w:rFonts w:ascii="Tahoma" w:hAnsi="Tahoma" w:cs="Tahoma"/>
          <w:i/>
        </w:rPr>
        <w:t xml:space="preserve"> </w:t>
      </w:r>
      <w:r w:rsidRPr="00652800">
        <w:rPr>
          <w:rFonts w:ascii="Tahoma" w:hAnsi="Tahoma" w:cs="Tahoma"/>
          <w:i/>
          <w:lang w:val="en-US"/>
        </w:rPr>
        <w:t>Report</w:t>
      </w:r>
      <w:r w:rsidRPr="00A50BB6">
        <w:rPr>
          <w:rFonts w:ascii="Tahoma" w:hAnsi="Tahoma" w:cs="Tahoma"/>
        </w:rPr>
        <w:t xml:space="preserve">, </w:t>
      </w:r>
      <w:r>
        <w:rPr>
          <w:rFonts w:ascii="Tahoma" w:hAnsi="Tahoma" w:cs="Tahoma"/>
          <w:lang w:val="en-US"/>
        </w:rPr>
        <w:t>European</w:t>
      </w:r>
      <w:r w:rsidRPr="00A50BB6">
        <w:rPr>
          <w:rFonts w:ascii="Tahoma" w:hAnsi="Tahoma" w:cs="Tahoma"/>
        </w:rPr>
        <w:t xml:space="preserve"> </w:t>
      </w:r>
      <w:r>
        <w:rPr>
          <w:rFonts w:ascii="Tahoma" w:hAnsi="Tahoma" w:cs="Tahoma"/>
          <w:lang w:val="en-US"/>
        </w:rPr>
        <w:t>Communities</w:t>
      </w:r>
      <w:r w:rsidRPr="00A50BB6">
        <w:rPr>
          <w:rFonts w:ascii="Tahoma" w:hAnsi="Tahoma" w:cs="Tahoma"/>
        </w:rPr>
        <w:t>-</w:t>
      </w:r>
      <w:r>
        <w:rPr>
          <w:rFonts w:ascii="Tahoma" w:hAnsi="Tahoma" w:cs="Tahoma"/>
          <w:lang w:val="en-US"/>
        </w:rPr>
        <w:t>Measures</w:t>
      </w:r>
      <w:r w:rsidRPr="00A50BB6">
        <w:rPr>
          <w:rFonts w:ascii="Tahoma" w:hAnsi="Tahoma" w:cs="Tahoma"/>
        </w:rPr>
        <w:t xml:space="preserve"> </w:t>
      </w:r>
      <w:r>
        <w:rPr>
          <w:rFonts w:ascii="Tahoma" w:hAnsi="Tahoma" w:cs="Tahoma"/>
          <w:lang w:val="en-US"/>
        </w:rPr>
        <w:t>Affecting</w:t>
      </w:r>
      <w:r w:rsidRPr="00A50BB6">
        <w:rPr>
          <w:rFonts w:ascii="Tahoma" w:hAnsi="Tahoma" w:cs="Tahoma"/>
        </w:rPr>
        <w:t xml:space="preserve"> </w:t>
      </w:r>
      <w:r>
        <w:rPr>
          <w:rFonts w:ascii="Tahoma" w:hAnsi="Tahoma" w:cs="Tahoma"/>
          <w:lang w:val="en-US"/>
        </w:rPr>
        <w:t>the</w:t>
      </w:r>
      <w:r w:rsidRPr="00A50BB6">
        <w:rPr>
          <w:rFonts w:ascii="Tahoma" w:hAnsi="Tahoma" w:cs="Tahoma"/>
        </w:rPr>
        <w:t xml:space="preserve"> </w:t>
      </w:r>
      <w:r>
        <w:rPr>
          <w:rFonts w:ascii="Tahoma" w:hAnsi="Tahoma" w:cs="Tahoma"/>
          <w:lang w:val="en-US"/>
        </w:rPr>
        <w:t>Approval</w:t>
      </w:r>
      <w:r w:rsidRPr="00A50BB6">
        <w:rPr>
          <w:rFonts w:ascii="Tahoma" w:hAnsi="Tahoma" w:cs="Tahoma"/>
        </w:rPr>
        <w:t xml:space="preserve"> </w:t>
      </w:r>
      <w:r>
        <w:rPr>
          <w:rFonts w:ascii="Tahoma" w:hAnsi="Tahoma" w:cs="Tahoma"/>
          <w:lang w:val="en-US"/>
        </w:rPr>
        <w:t>and</w:t>
      </w:r>
      <w:r w:rsidRPr="00A50BB6">
        <w:rPr>
          <w:rFonts w:ascii="Tahoma" w:hAnsi="Tahoma" w:cs="Tahoma"/>
        </w:rPr>
        <w:t xml:space="preserve"> </w:t>
      </w:r>
      <w:r>
        <w:rPr>
          <w:rFonts w:ascii="Tahoma" w:hAnsi="Tahoma" w:cs="Tahoma"/>
          <w:lang w:val="en-US"/>
        </w:rPr>
        <w:t>Marketing</w:t>
      </w:r>
      <w:r w:rsidRPr="00A50BB6">
        <w:rPr>
          <w:rFonts w:ascii="Tahoma" w:hAnsi="Tahoma" w:cs="Tahoma"/>
        </w:rPr>
        <w:t xml:space="preserve"> </w:t>
      </w:r>
      <w:r>
        <w:rPr>
          <w:rFonts w:ascii="Tahoma" w:hAnsi="Tahoma" w:cs="Tahoma"/>
          <w:lang w:val="en-US"/>
        </w:rPr>
        <w:t>of</w:t>
      </w:r>
      <w:r w:rsidRPr="00A50BB6">
        <w:rPr>
          <w:rFonts w:ascii="Tahoma" w:hAnsi="Tahoma" w:cs="Tahoma"/>
        </w:rPr>
        <w:t xml:space="preserve"> </w:t>
      </w:r>
      <w:r>
        <w:rPr>
          <w:rFonts w:ascii="Tahoma" w:hAnsi="Tahoma" w:cs="Tahoma"/>
          <w:lang w:val="en-US"/>
        </w:rPr>
        <w:t>Biotech</w:t>
      </w:r>
      <w:r w:rsidRPr="00A50BB6">
        <w:rPr>
          <w:rFonts w:ascii="Tahoma" w:hAnsi="Tahoma" w:cs="Tahoma"/>
        </w:rPr>
        <w:t xml:space="preserve"> </w:t>
      </w:r>
      <w:r>
        <w:rPr>
          <w:rFonts w:ascii="Tahoma" w:hAnsi="Tahoma" w:cs="Tahoma"/>
          <w:lang w:val="en-US"/>
        </w:rPr>
        <w:t>Products</w:t>
      </w:r>
      <w:r w:rsidRPr="00A50BB6">
        <w:rPr>
          <w:rFonts w:ascii="Tahoma" w:hAnsi="Tahoma" w:cs="Tahoma"/>
        </w:rPr>
        <w:t xml:space="preserve">, </w:t>
      </w:r>
      <w:r>
        <w:rPr>
          <w:rFonts w:ascii="Tahoma" w:hAnsi="Tahoma" w:cs="Tahoma"/>
          <w:lang w:val="en-US"/>
        </w:rPr>
        <w:t>WT</w:t>
      </w:r>
      <w:r w:rsidRPr="00A50BB6">
        <w:rPr>
          <w:rFonts w:ascii="Tahoma" w:hAnsi="Tahoma" w:cs="Tahoma"/>
        </w:rPr>
        <w:t>/</w:t>
      </w:r>
      <w:r>
        <w:rPr>
          <w:rFonts w:ascii="Tahoma" w:hAnsi="Tahoma" w:cs="Tahoma"/>
          <w:lang w:val="en-US"/>
        </w:rPr>
        <w:t>DS</w:t>
      </w:r>
      <w:r w:rsidRPr="00A50BB6">
        <w:rPr>
          <w:rFonts w:ascii="Tahoma" w:hAnsi="Tahoma" w:cs="Tahoma"/>
        </w:rPr>
        <w:t>/291/</w:t>
      </w:r>
      <w:r>
        <w:rPr>
          <w:rFonts w:ascii="Tahoma" w:hAnsi="Tahoma" w:cs="Tahoma"/>
          <w:lang w:val="en-US"/>
        </w:rPr>
        <w:t>R</w:t>
      </w:r>
      <w:r w:rsidRPr="00A50BB6">
        <w:rPr>
          <w:rFonts w:ascii="Tahoma" w:hAnsi="Tahoma" w:cs="Tahoma"/>
        </w:rPr>
        <w:t xml:space="preserve">, </w:t>
      </w:r>
      <w:r>
        <w:rPr>
          <w:rFonts w:ascii="Tahoma" w:hAnsi="Tahoma" w:cs="Tahoma"/>
          <w:lang w:val="en-US"/>
        </w:rPr>
        <w:t>WT</w:t>
      </w:r>
      <w:r w:rsidRPr="00A50BB6">
        <w:rPr>
          <w:rFonts w:ascii="Tahoma" w:hAnsi="Tahoma" w:cs="Tahoma"/>
        </w:rPr>
        <w:t>/</w:t>
      </w:r>
      <w:r>
        <w:rPr>
          <w:rFonts w:ascii="Tahoma" w:hAnsi="Tahoma" w:cs="Tahoma"/>
          <w:lang w:val="en-US"/>
        </w:rPr>
        <w:t>DS</w:t>
      </w:r>
      <w:r w:rsidRPr="00A50BB6">
        <w:rPr>
          <w:rFonts w:ascii="Tahoma" w:hAnsi="Tahoma" w:cs="Tahoma"/>
        </w:rPr>
        <w:t>/292/</w:t>
      </w:r>
      <w:r>
        <w:rPr>
          <w:rFonts w:ascii="Tahoma" w:hAnsi="Tahoma" w:cs="Tahoma"/>
          <w:lang w:val="en-US"/>
        </w:rPr>
        <w:t>R</w:t>
      </w:r>
      <w:r w:rsidRPr="00A50BB6">
        <w:rPr>
          <w:rFonts w:ascii="Tahoma" w:hAnsi="Tahoma" w:cs="Tahoma"/>
        </w:rPr>
        <w:t xml:space="preserve">, </w:t>
      </w:r>
      <w:r>
        <w:rPr>
          <w:rFonts w:ascii="Tahoma" w:hAnsi="Tahoma" w:cs="Tahoma"/>
          <w:lang w:val="en-US"/>
        </w:rPr>
        <w:t>WT</w:t>
      </w:r>
      <w:r w:rsidRPr="00A50BB6">
        <w:rPr>
          <w:rFonts w:ascii="Tahoma" w:hAnsi="Tahoma" w:cs="Tahoma"/>
        </w:rPr>
        <w:t>/</w:t>
      </w:r>
      <w:r>
        <w:rPr>
          <w:rFonts w:ascii="Tahoma" w:hAnsi="Tahoma" w:cs="Tahoma"/>
          <w:lang w:val="en-US"/>
        </w:rPr>
        <w:t>DS</w:t>
      </w:r>
      <w:r w:rsidRPr="00A50BB6">
        <w:rPr>
          <w:rFonts w:ascii="Tahoma" w:hAnsi="Tahoma" w:cs="Tahoma"/>
        </w:rPr>
        <w:t>/293/</w:t>
      </w:r>
      <w:r>
        <w:rPr>
          <w:rFonts w:ascii="Tahoma" w:hAnsi="Tahoma" w:cs="Tahoma"/>
          <w:lang w:val="en-US"/>
        </w:rPr>
        <w:t>R</w:t>
      </w:r>
      <w:r w:rsidRPr="00A50BB6">
        <w:rPr>
          <w:rFonts w:ascii="Tahoma" w:hAnsi="Tahoma" w:cs="Tahoma"/>
        </w:rPr>
        <w:t xml:space="preserve"> (</w:t>
      </w:r>
      <w:r>
        <w:rPr>
          <w:rFonts w:ascii="Tahoma" w:hAnsi="Tahoma" w:cs="Tahoma"/>
          <w:lang w:val="en-US"/>
        </w:rPr>
        <w:t>Sept</w:t>
      </w:r>
      <w:r w:rsidRPr="00A50BB6">
        <w:rPr>
          <w:rFonts w:ascii="Tahoma" w:hAnsi="Tahoma" w:cs="Tahoma"/>
        </w:rPr>
        <w:t xml:space="preserve">. 29, 2006), </w:t>
      </w:r>
      <w:r>
        <w:rPr>
          <w:rFonts w:ascii="Tahoma" w:hAnsi="Tahoma" w:cs="Tahoma"/>
        </w:rPr>
        <w:t>παράγρ</w:t>
      </w:r>
      <w:r w:rsidRPr="00A50BB6">
        <w:rPr>
          <w:rFonts w:ascii="Tahoma" w:hAnsi="Tahoma" w:cs="Tahoma"/>
        </w:rPr>
        <w:t xml:space="preserve">. </w:t>
      </w:r>
      <w:r w:rsidRPr="00A50BB6">
        <w:rPr>
          <w:rFonts w:ascii="Tahoma" w:hAnsi="Tahoma" w:cs="Tahoma"/>
          <w:lang w:val="en-GB"/>
        </w:rPr>
        <w:t>7.3227.</w:t>
      </w:r>
    </w:p>
  </w:footnote>
  <w:footnote w:id="29">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731FF3">
        <w:rPr>
          <w:rFonts w:ascii="Tahoma" w:hAnsi="Tahoma" w:cs="Tahoma"/>
          <w:i/>
          <w:lang w:val="en-US"/>
        </w:rPr>
        <w:t>W</w:t>
      </w:r>
      <w:r w:rsidRPr="00731FF3">
        <w:rPr>
          <w:rFonts w:ascii="Tahoma" w:hAnsi="Tahoma" w:cs="Tahoma"/>
          <w:i/>
          <w:lang w:val="en-GB"/>
        </w:rPr>
        <w:t xml:space="preserve">. </w:t>
      </w:r>
      <w:r w:rsidRPr="00731FF3">
        <w:rPr>
          <w:rFonts w:ascii="Tahoma" w:hAnsi="Tahoma" w:cs="Tahoma"/>
          <w:i/>
          <w:lang w:val="en-US"/>
        </w:rPr>
        <w:t>Van</w:t>
      </w:r>
      <w:r w:rsidRPr="00731FF3">
        <w:rPr>
          <w:rFonts w:ascii="Tahoma" w:hAnsi="Tahoma" w:cs="Tahoma"/>
          <w:i/>
          <w:lang w:val="en-GB"/>
        </w:rPr>
        <w:t xml:space="preserve"> </w:t>
      </w:r>
      <w:r w:rsidRPr="00731FF3">
        <w:rPr>
          <w:rFonts w:ascii="Tahoma" w:hAnsi="Tahoma" w:cs="Tahoma"/>
          <w:i/>
          <w:lang w:val="en-US"/>
        </w:rPr>
        <w:t>Der</w:t>
      </w:r>
      <w:r w:rsidRPr="00731FF3">
        <w:rPr>
          <w:rFonts w:ascii="Tahoma" w:hAnsi="Tahoma" w:cs="Tahoma"/>
          <w:i/>
          <w:lang w:val="en-GB"/>
        </w:rPr>
        <w:t xml:space="preserve"> </w:t>
      </w:r>
      <w:r w:rsidRPr="00731FF3">
        <w:rPr>
          <w:rFonts w:ascii="Tahoma" w:hAnsi="Tahoma" w:cs="Tahoma"/>
          <w:i/>
          <w:lang w:val="en-US"/>
        </w:rPr>
        <w:t>Burg</w:t>
      </w:r>
      <w:r w:rsidRPr="00A14184">
        <w:rPr>
          <w:rFonts w:ascii="Tahoma" w:hAnsi="Tahoma" w:cs="Tahoma"/>
          <w:lang w:val="en-GB"/>
        </w:rPr>
        <w:t>, “</w:t>
      </w:r>
      <w:r w:rsidRPr="00A14184">
        <w:rPr>
          <w:rFonts w:ascii="Tahoma" w:hAnsi="Tahoma" w:cs="Tahoma"/>
          <w:lang w:val="en-US"/>
        </w:rPr>
        <w:t>The</w:t>
      </w:r>
      <w:r w:rsidRPr="00A14184">
        <w:rPr>
          <w:rFonts w:ascii="Tahoma" w:hAnsi="Tahoma" w:cs="Tahoma"/>
          <w:lang w:val="en-GB"/>
        </w:rPr>
        <w:t xml:space="preserve"> </w:t>
      </w:r>
      <w:r w:rsidRPr="00A14184">
        <w:rPr>
          <w:rFonts w:ascii="Tahoma" w:hAnsi="Tahoma" w:cs="Tahoma"/>
          <w:lang w:val="en-US"/>
        </w:rPr>
        <w:t>expressive</w:t>
      </w:r>
      <w:r w:rsidRPr="00A14184">
        <w:rPr>
          <w:rFonts w:ascii="Tahoma" w:hAnsi="Tahoma" w:cs="Tahoma"/>
          <w:lang w:val="en-GB"/>
        </w:rPr>
        <w:t xml:space="preserve"> </w:t>
      </w:r>
      <w:r w:rsidRPr="00A14184">
        <w:rPr>
          <w:rFonts w:ascii="Tahoma" w:hAnsi="Tahoma" w:cs="Tahoma"/>
          <w:lang w:val="en-US"/>
        </w:rPr>
        <w:t>and</w:t>
      </w:r>
      <w:r w:rsidRPr="00A14184">
        <w:rPr>
          <w:rFonts w:ascii="Tahoma" w:hAnsi="Tahoma" w:cs="Tahoma"/>
          <w:lang w:val="en-GB"/>
        </w:rPr>
        <w:t xml:space="preserve"> </w:t>
      </w:r>
      <w:r w:rsidRPr="00A14184">
        <w:rPr>
          <w:rFonts w:ascii="Tahoma" w:hAnsi="Tahoma" w:cs="Tahoma"/>
          <w:lang w:val="en-US"/>
        </w:rPr>
        <w:t>communicative</w:t>
      </w:r>
      <w:r w:rsidRPr="00A14184">
        <w:rPr>
          <w:rFonts w:ascii="Tahoma" w:hAnsi="Tahoma" w:cs="Tahoma"/>
          <w:lang w:val="en-GB"/>
        </w:rPr>
        <w:t xml:space="preserve"> </w:t>
      </w:r>
      <w:r w:rsidRPr="00A14184">
        <w:rPr>
          <w:rFonts w:ascii="Tahoma" w:hAnsi="Tahoma" w:cs="Tahoma"/>
          <w:lang w:val="en-US"/>
        </w:rPr>
        <w:t>functions</w:t>
      </w:r>
      <w:r w:rsidRPr="00A14184">
        <w:rPr>
          <w:rFonts w:ascii="Tahoma" w:hAnsi="Tahoma" w:cs="Tahoma"/>
          <w:lang w:val="en-GB"/>
        </w:rPr>
        <w:t xml:space="preserve"> </w:t>
      </w:r>
      <w:r w:rsidRPr="00A14184">
        <w:rPr>
          <w:rFonts w:ascii="Tahoma" w:hAnsi="Tahoma" w:cs="Tahoma"/>
          <w:lang w:val="en-US"/>
        </w:rPr>
        <w:t>of</w:t>
      </w:r>
      <w:r w:rsidRPr="00A14184">
        <w:rPr>
          <w:rFonts w:ascii="Tahoma" w:hAnsi="Tahoma" w:cs="Tahoma"/>
          <w:lang w:val="en-GB"/>
        </w:rPr>
        <w:t xml:space="preserve"> </w:t>
      </w:r>
      <w:r w:rsidRPr="00A14184">
        <w:rPr>
          <w:rFonts w:ascii="Tahoma" w:hAnsi="Tahoma" w:cs="Tahoma"/>
          <w:lang w:val="en-US"/>
        </w:rPr>
        <w:t>law</w:t>
      </w:r>
      <w:r w:rsidRPr="00A14184">
        <w:rPr>
          <w:rFonts w:ascii="Tahoma" w:hAnsi="Tahoma" w:cs="Tahoma"/>
          <w:lang w:val="en-GB"/>
        </w:rPr>
        <w:t xml:space="preserve">, </w:t>
      </w:r>
      <w:r w:rsidRPr="00A14184">
        <w:rPr>
          <w:rFonts w:ascii="Tahoma" w:hAnsi="Tahoma" w:cs="Tahoma"/>
          <w:lang w:val="en-US"/>
        </w:rPr>
        <w:t>especially</w:t>
      </w:r>
      <w:r w:rsidRPr="00A14184">
        <w:rPr>
          <w:rFonts w:ascii="Tahoma" w:hAnsi="Tahoma" w:cs="Tahoma"/>
          <w:lang w:val="en-GB"/>
        </w:rPr>
        <w:t xml:space="preserve"> </w:t>
      </w:r>
      <w:r w:rsidRPr="00A14184">
        <w:rPr>
          <w:rFonts w:ascii="Tahoma" w:hAnsi="Tahoma" w:cs="Tahoma"/>
          <w:lang w:val="en-US"/>
        </w:rPr>
        <w:t>with</w:t>
      </w:r>
      <w:r w:rsidRPr="00A14184">
        <w:rPr>
          <w:rFonts w:ascii="Tahoma" w:hAnsi="Tahoma" w:cs="Tahoma"/>
          <w:lang w:val="en-GB"/>
        </w:rPr>
        <w:t xml:space="preserve"> </w:t>
      </w:r>
      <w:r w:rsidRPr="00A14184">
        <w:rPr>
          <w:rFonts w:ascii="Tahoma" w:hAnsi="Tahoma" w:cs="Tahoma"/>
          <w:lang w:val="en-US"/>
        </w:rPr>
        <w:t>regard</w:t>
      </w:r>
      <w:r w:rsidRPr="00A14184">
        <w:rPr>
          <w:rFonts w:ascii="Tahoma" w:hAnsi="Tahoma" w:cs="Tahoma"/>
          <w:lang w:val="en-GB"/>
        </w:rPr>
        <w:t xml:space="preserve"> </w:t>
      </w:r>
      <w:r w:rsidRPr="00A14184">
        <w:rPr>
          <w:rFonts w:ascii="Tahoma" w:hAnsi="Tahoma" w:cs="Tahoma"/>
          <w:lang w:val="en-US"/>
        </w:rPr>
        <w:t>to</w:t>
      </w:r>
      <w:r w:rsidRPr="00A14184">
        <w:rPr>
          <w:rFonts w:ascii="Tahoma" w:hAnsi="Tahoma" w:cs="Tahoma"/>
          <w:lang w:val="en-GB"/>
        </w:rPr>
        <w:t xml:space="preserve"> </w:t>
      </w:r>
      <w:r w:rsidRPr="00A14184">
        <w:rPr>
          <w:rFonts w:ascii="Tahoma" w:hAnsi="Tahoma" w:cs="Tahoma"/>
          <w:lang w:val="en-US"/>
        </w:rPr>
        <w:t>moral</w:t>
      </w:r>
      <w:r w:rsidRPr="00A14184">
        <w:rPr>
          <w:rFonts w:ascii="Tahoma" w:hAnsi="Tahoma" w:cs="Tahoma"/>
          <w:lang w:val="en-GB"/>
        </w:rPr>
        <w:t xml:space="preserve"> </w:t>
      </w:r>
      <w:r w:rsidRPr="00A14184">
        <w:rPr>
          <w:rFonts w:ascii="Tahoma" w:hAnsi="Tahoma" w:cs="Tahoma"/>
          <w:lang w:val="en-US"/>
        </w:rPr>
        <w:t>issues</w:t>
      </w:r>
      <w:r w:rsidRPr="00A14184">
        <w:rPr>
          <w:rFonts w:ascii="Tahoma" w:hAnsi="Tahoma" w:cs="Tahoma"/>
          <w:lang w:val="en-GB"/>
        </w:rPr>
        <w:t xml:space="preserve">”, </w:t>
      </w:r>
      <w:r w:rsidRPr="00A14184">
        <w:rPr>
          <w:rFonts w:ascii="Tahoma" w:hAnsi="Tahoma" w:cs="Tahoma"/>
          <w:lang w:val="en-US"/>
        </w:rPr>
        <w:t>Law</w:t>
      </w:r>
      <w:r w:rsidRPr="00A14184">
        <w:rPr>
          <w:rFonts w:ascii="Tahoma" w:hAnsi="Tahoma" w:cs="Tahoma"/>
          <w:lang w:val="en-GB"/>
        </w:rPr>
        <w:t xml:space="preserve"> </w:t>
      </w:r>
      <w:r w:rsidRPr="00A14184">
        <w:rPr>
          <w:rFonts w:ascii="Tahoma" w:hAnsi="Tahoma" w:cs="Tahoma"/>
          <w:lang w:val="en-US"/>
        </w:rPr>
        <w:t>and</w:t>
      </w:r>
      <w:r w:rsidRPr="00A14184">
        <w:rPr>
          <w:rFonts w:ascii="Tahoma" w:hAnsi="Tahoma" w:cs="Tahoma"/>
          <w:lang w:val="en-GB"/>
        </w:rPr>
        <w:t xml:space="preserve"> </w:t>
      </w:r>
      <w:r w:rsidRPr="00A14184">
        <w:rPr>
          <w:rFonts w:ascii="Tahoma" w:hAnsi="Tahoma" w:cs="Tahoma"/>
          <w:lang w:val="en-US"/>
        </w:rPr>
        <w:t>Philosophy</w:t>
      </w:r>
      <w:r w:rsidRPr="00A14184">
        <w:rPr>
          <w:rFonts w:ascii="Tahoma" w:hAnsi="Tahoma" w:cs="Tahoma"/>
          <w:lang w:val="en-GB"/>
        </w:rPr>
        <w:t xml:space="preserve">, </w:t>
      </w:r>
      <w:r w:rsidRPr="00A14184">
        <w:rPr>
          <w:rFonts w:ascii="Tahoma" w:hAnsi="Tahoma" w:cs="Tahoma"/>
          <w:lang w:val="en-US"/>
        </w:rPr>
        <w:t xml:space="preserve">Vol. 20, </w:t>
      </w:r>
      <w:r w:rsidRPr="00A14184">
        <w:rPr>
          <w:rFonts w:ascii="Tahoma" w:hAnsi="Tahoma" w:cs="Tahoma"/>
          <w:lang w:val="en-GB"/>
        </w:rPr>
        <w:t xml:space="preserve">2001, </w:t>
      </w:r>
      <w:r w:rsidRPr="00A14184">
        <w:rPr>
          <w:rFonts w:ascii="Tahoma" w:hAnsi="Tahoma" w:cs="Tahoma"/>
        </w:rPr>
        <w:t>σ</w:t>
      </w:r>
      <w:r w:rsidRPr="00A14184">
        <w:rPr>
          <w:rFonts w:ascii="Tahoma" w:hAnsi="Tahoma" w:cs="Tahoma"/>
          <w:lang w:val="en-GB"/>
        </w:rPr>
        <w:t>. 31-59.</w:t>
      </w:r>
    </w:p>
  </w:footnote>
  <w:footnote w:id="30">
    <w:p w:rsidR="00D67742" w:rsidRPr="00A14184" w:rsidRDefault="00D67742" w:rsidP="00D67742">
      <w:pPr>
        <w:pStyle w:val="FootnoteText"/>
        <w:jc w:val="both"/>
        <w:rPr>
          <w:rFonts w:ascii="Tahoma" w:hAnsi="Tahoma" w:cs="Tahoma"/>
          <w:lang w:val="en-US"/>
        </w:rPr>
      </w:pPr>
      <w:r w:rsidRPr="00A14184">
        <w:rPr>
          <w:rStyle w:val="FootnoteReference"/>
          <w:rFonts w:ascii="Tahoma" w:hAnsi="Tahoma" w:cs="Tahoma"/>
        </w:rPr>
        <w:footnoteRef/>
      </w:r>
      <w:r>
        <w:rPr>
          <w:rFonts w:ascii="Tahoma" w:hAnsi="Tahoma" w:cs="Tahoma"/>
          <w:lang w:val="fr-FR"/>
        </w:rPr>
        <w:t xml:space="preserve"> </w:t>
      </w:r>
      <w:r w:rsidRPr="00731FF3">
        <w:rPr>
          <w:rFonts w:ascii="Tahoma" w:hAnsi="Tahoma" w:cs="Tahoma"/>
          <w:i/>
          <w:lang w:val="fr-FR"/>
        </w:rPr>
        <w:t>P. Martin-Bidou</w:t>
      </w:r>
      <w:r>
        <w:rPr>
          <w:rFonts w:ascii="Tahoma" w:hAnsi="Tahoma" w:cs="Tahoma"/>
          <w:lang w:val="fr-FR"/>
        </w:rPr>
        <w:t xml:space="preserve">, </w:t>
      </w:r>
      <w:r w:rsidRPr="007210C7">
        <w:rPr>
          <w:rFonts w:ascii="Tahoma" w:hAnsi="Tahoma" w:cs="Tahoma"/>
          <w:lang w:val="fr-FR"/>
        </w:rPr>
        <w:t>‘‘</w:t>
      </w:r>
      <w:r w:rsidRPr="00A14184">
        <w:rPr>
          <w:rFonts w:ascii="Tahoma" w:hAnsi="Tahoma" w:cs="Tahoma"/>
          <w:lang w:val="fr-FR"/>
        </w:rPr>
        <w:t>Le principe de prècaution en droit i</w:t>
      </w:r>
      <w:r>
        <w:rPr>
          <w:rFonts w:ascii="Tahoma" w:hAnsi="Tahoma" w:cs="Tahoma"/>
          <w:lang w:val="fr-FR"/>
        </w:rPr>
        <w:t>nternational de l’environnement</w:t>
      </w:r>
      <w:r w:rsidRPr="007210C7">
        <w:rPr>
          <w:rFonts w:ascii="Tahoma" w:hAnsi="Tahoma" w:cs="Tahoma"/>
          <w:lang w:val="fr-FR"/>
        </w:rPr>
        <w:t>’’</w:t>
      </w:r>
      <w:r w:rsidRPr="00A14184">
        <w:rPr>
          <w:rFonts w:ascii="Tahoma" w:hAnsi="Tahoma" w:cs="Tahoma"/>
          <w:lang w:val="fr-FR"/>
        </w:rPr>
        <w:t xml:space="preserve">,  </w:t>
      </w:r>
      <w:r w:rsidRPr="00A14184">
        <w:rPr>
          <w:rFonts w:ascii="Tahoma" w:hAnsi="Tahoma" w:cs="Tahoma"/>
        </w:rPr>
        <w:t>ό</w:t>
      </w:r>
      <w:r w:rsidRPr="00A14184">
        <w:rPr>
          <w:rFonts w:ascii="Tahoma" w:hAnsi="Tahoma" w:cs="Tahoma"/>
          <w:lang w:val="fr-FR"/>
        </w:rPr>
        <w:t>.</w:t>
      </w:r>
      <w:r w:rsidRPr="00A14184">
        <w:rPr>
          <w:rFonts w:ascii="Tahoma" w:hAnsi="Tahoma" w:cs="Tahoma"/>
        </w:rPr>
        <w:t>π</w:t>
      </w:r>
      <w:r w:rsidRPr="00A14184">
        <w:rPr>
          <w:rFonts w:ascii="Tahoma" w:hAnsi="Tahoma" w:cs="Tahoma"/>
          <w:lang w:val="fr-FR"/>
        </w:rPr>
        <w:t xml:space="preserve">., </w:t>
      </w:r>
      <w:r w:rsidRPr="00A14184">
        <w:rPr>
          <w:rFonts w:ascii="Tahoma" w:hAnsi="Tahoma" w:cs="Tahoma"/>
        </w:rPr>
        <w:t>σ</w:t>
      </w:r>
      <w:r w:rsidRPr="00A14184">
        <w:rPr>
          <w:rFonts w:ascii="Tahoma" w:hAnsi="Tahoma" w:cs="Tahoma"/>
          <w:lang w:val="fr-FR"/>
        </w:rPr>
        <w:t xml:space="preserve">. 652. </w:t>
      </w:r>
      <w:r w:rsidRPr="00731FF3">
        <w:rPr>
          <w:rFonts w:ascii="Tahoma" w:hAnsi="Tahoma" w:cs="Tahoma"/>
          <w:i/>
          <w:lang w:val="en-GB"/>
        </w:rPr>
        <w:t>E. Soule</w:t>
      </w:r>
      <w:r w:rsidRPr="00A14184">
        <w:rPr>
          <w:rFonts w:ascii="Tahoma" w:hAnsi="Tahoma" w:cs="Tahoma"/>
          <w:lang w:val="en-GB"/>
        </w:rPr>
        <w:t xml:space="preserve">, </w:t>
      </w:r>
      <w:r w:rsidRPr="00A14184">
        <w:rPr>
          <w:rFonts w:ascii="Tahoma" w:hAnsi="Tahoma" w:cs="Tahoma"/>
          <w:lang w:val="en-US"/>
        </w:rPr>
        <w:t>“</w:t>
      </w:r>
      <w:r w:rsidRPr="00A14184">
        <w:rPr>
          <w:rFonts w:ascii="Tahoma" w:hAnsi="Tahoma" w:cs="Tahoma"/>
          <w:lang w:val="en-GB"/>
        </w:rPr>
        <w:t>Assessing the Precautionary Principle</w:t>
      </w:r>
      <w:r w:rsidRPr="00A14184">
        <w:rPr>
          <w:rFonts w:ascii="Tahoma" w:hAnsi="Tahoma" w:cs="Tahoma"/>
          <w:lang w:val="en-US"/>
        </w:rPr>
        <w:t>”</w:t>
      </w:r>
      <w:r w:rsidRPr="00A14184">
        <w:rPr>
          <w:rFonts w:ascii="Tahoma" w:hAnsi="Tahoma" w:cs="Tahoma"/>
          <w:lang w:val="en-GB"/>
        </w:rPr>
        <w:t>, Public Affair</w:t>
      </w:r>
      <w:r>
        <w:rPr>
          <w:rFonts w:ascii="Tahoma" w:hAnsi="Tahoma" w:cs="Tahoma"/>
          <w:lang w:val="en-GB"/>
        </w:rPr>
        <w:t>s Quarterly, Vol. 14, 2000</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xml:space="preserve">. 313. </w:t>
      </w:r>
    </w:p>
  </w:footnote>
  <w:footnote w:id="31">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Π.χ. Διακήρυξη του Ρίο, (αρχή 15), ό.π. και το Πρωτόκολλο του 1995 στη Σύμβαση της Βαρκελώνης (άρθρο 4.3. α). </w:t>
      </w:r>
      <w:r w:rsidRPr="00A14184">
        <w:rPr>
          <w:rFonts w:ascii="Tahoma" w:hAnsi="Tahoma" w:cs="Tahoma"/>
          <w:lang w:val="en-GB"/>
        </w:rPr>
        <w:t>[</w:t>
      </w:r>
      <w:r w:rsidRPr="00A14184">
        <w:rPr>
          <w:rFonts w:ascii="Tahoma" w:hAnsi="Tahoma" w:cs="Tahoma"/>
          <w:bCs/>
          <w:lang w:val="en-US"/>
        </w:rPr>
        <w:t xml:space="preserve">Protocol (to the 1976 Convention for the Protection of the Mediterranean Sea Against Pollution) Concerning Specially Protected Areas and Biological Diversity in the </w:t>
      </w:r>
      <w:r w:rsidRPr="00A14184">
        <w:rPr>
          <w:rFonts w:ascii="Tahoma" w:hAnsi="Tahoma" w:cs="Tahoma"/>
          <w:lang w:val="en-US"/>
        </w:rPr>
        <w:t xml:space="preserve">Mediterranean, </w:t>
      </w:r>
      <w:smartTag w:uri="urn:schemas-microsoft-com:office:smarttags" w:element="date">
        <w:smartTagPr>
          <w:attr w:name="Month" w:val="6"/>
          <w:attr w:name="Day" w:val="10"/>
          <w:attr w:name="Year" w:val="1995"/>
        </w:smartTagPr>
        <w:r w:rsidRPr="00A14184">
          <w:rPr>
            <w:rFonts w:ascii="Tahoma" w:hAnsi="Tahoma" w:cs="Tahoma"/>
            <w:lang w:val="en-US"/>
          </w:rPr>
          <w:t>10-6-1995</w:t>
        </w:r>
      </w:smartTag>
      <w:r w:rsidRPr="00A14184">
        <w:rPr>
          <w:rFonts w:ascii="Tahoma" w:hAnsi="Tahoma" w:cs="Tahoma"/>
          <w:lang w:val="en-US"/>
        </w:rPr>
        <w:t>, (</w:t>
      </w:r>
      <w:r w:rsidRPr="00A14184">
        <w:rPr>
          <w:rFonts w:ascii="Tahoma" w:hAnsi="Tahoma" w:cs="Tahoma"/>
        </w:rPr>
        <w:t>σε</w:t>
      </w:r>
      <w:r w:rsidRPr="00A14184">
        <w:rPr>
          <w:rFonts w:ascii="Tahoma" w:hAnsi="Tahoma" w:cs="Tahoma"/>
          <w:lang w:val="en-US"/>
        </w:rPr>
        <w:t xml:space="preserve"> </w:t>
      </w:r>
      <w:r w:rsidRPr="00A14184">
        <w:rPr>
          <w:rFonts w:ascii="Tahoma" w:hAnsi="Tahoma" w:cs="Tahoma"/>
        </w:rPr>
        <w:t>ισχύ</w:t>
      </w:r>
      <w:r w:rsidRPr="00A14184">
        <w:rPr>
          <w:rFonts w:ascii="Tahoma" w:hAnsi="Tahoma" w:cs="Tahoma"/>
          <w:lang w:val="en-US"/>
        </w:rPr>
        <w:t xml:space="preserve"> </w:t>
      </w:r>
      <w:r w:rsidRPr="00A14184">
        <w:rPr>
          <w:rFonts w:ascii="Tahoma" w:hAnsi="Tahoma" w:cs="Tahoma"/>
        </w:rPr>
        <w:t>από</w:t>
      </w:r>
      <w:r w:rsidRPr="00A14184">
        <w:rPr>
          <w:rFonts w:ascii="Tahoma" w:hAnsi="Tahoma" w:cs="Tahoma"/>
          <w:lang w:val="en-US"/>
        </w:rPr>
        <w:t xml:space="preserve"> </w:t>
      </w:r>
      <w:smartTag w:uri="urn:schemas-microsoft-com:office:smarttags" w:element="date">
        <w:smartTagPr>
          <w:attr w:name="Month" w:val="12"/>
          <w:attr w:name="Day" w:val="12"/>
          <w:attr w:name="Year" w:val="1999"/>
        </w:smartTagPr>
        <w:r w:rsidRPr="00A14184">
          <w:rPr>
            <w:rFonts w:ascii="Tahoma" w:hAnsi="Tahoma" w:cs="Tahoma"/>
            <w:lang w:val="en-US"/>
          </w:rPr>
          <w:t>12-12-1999</w:t>
        </w:r>
      </w:smartTag>
      <w:r w:rsidRPr="00A14184">
        <w:rPr>
          <w:rFonts w:ascii="Tahoma" w:hAnsi="Tahoma" w:cs="Tahoma"/>
          <w:lang w:val="en-US"/>
        </w:rPr>
        <w:t>) Doc. UNEP</w:t>
      </w:r>
      <w:r w:rsidRPr="00A14184">
        <w:rPr>
          <w:rFonts w:ascii="Tahoma" w:hAnsi="Tahoma" w:cs="Tahoma"/>
        </w:rPr>
        <w:t xml:space="preserve"> (</w:t>
      </w:r>
      <w:r w:rsidRPr="00A14184">
        <w:rPr>
          <w:rFonts w:ascii="Tahoma" w:hAnsi="Tahoma" w:cs="Tahoma"/>
          <w:lang w:val="en-US"/>
        </w:rPr>
        <w:t>OCA</w:t>
      </w:r>
      <w:r w:rsidRPr="00A14184">
        <w:rPr>
          <w:rFonts w:ascii="Tahoma" w:hAnsi="Tahoma" w:cs="Tahoma"/>
        </w:rPr>
        <w:t xml:space="preserve">) / </w:t>
      </w:r>
      <w:r w:rsidRPr="00A14184">
        <w:rPr>
          <w:rFonts w:ascii="Tahoma" w:hAnsi="Tahoma" w:cs="Tahoma"/>
          <w:lang w:val="en-US"/>
        </w:rPr>
        <w:t>MED</w:t>
      </w:r>
      <w:r w:rsidRPr="00A14184">
        <w:rPr>
          <w:rFonts w:ascii="Tahoma" w:hAnsi="Tahoma" w:cs="Tahoma"/>
        </w:rPr>
        <w:t xml:space="preserve"> </w:t>
      </w:r>
      <w:r w:rsidRPr="00A14184">
        <w:rPr>
          <w:rFonts w:ascii="Tahoma" w:hAnsi="Tahoma" w:cs="Tahoma"/>
          <w:lang w:val="en-US"/>
        </w:rPr>
        <w:t>IG</w:t>
      </w:r>
      <w:r w:rsidRPr="00A14184">
        <w:rPr>
          <w:rFonts w:ascii="Tahoma" w:hAnsi="Tahoma" w:cs="Tahoma"/>
        </w:rPr>
        <w:t xml:space="preserve">.6, 6 </w:t>
      </w:r>
      <w:r w:rsidRPr="00A14184">
        <w:rPr>
          <w:rFonts w:ascii="Tahoma" w:hAnsi="Tahoma" w:cs="Tahoma"/>
          <w:lang w:val="en-US"/>
        </w:rPr>
        <w:t>YIEL</w:t>
      </w:r>
      <w:r w:rsidRPr="00A14184">
        <w:rPr>
          <w:rFonts w:ascii="Tahoma" w:hAnsi="Tahoma" w:cs="Tahoma"/>
        </w:rPr>
        <w:t xml:space="preserve"> (1995) σ. 888].</w:t>
      </w:r>
    </w:p>
  </w:footnote>
  <w:footnote w:id="32">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Όπως π.χ., στη Σύμβαση για τις κλιματικές αλλαγές, ό.π., (άρθρο 3.3).</w:t>
      </w:r>
    </w:p>
  </w:footnote>
  <w:footnote w:id="33">
    <w:p w:rsidR="00D67742" w:rsidRPr="00A14184" w:rsidRDefault="00D67742" w:rsidP="00D67742">
      <w:pPr>
        <w:pStyle w:val="FootnoteText"/>
        <w:jc w:val="both"/>
        <w:rPr>
          <w:rFonts w:ascii="Tahoma" w:hAnsi="Tahoma" w:cs="Tahoma"/>
          <w:lang w:val="en-US"/>
        </w:rPr>
      </w:pPr>
      <w:r w:rsidRPr="00A14184">
        <w:rPr>
          <w:rStyle w:val="FootnoteReference"/>
          <w:rFonts w:ascii="Tahoma" w:hAnsi="Tahoma" w:cs="Tahoma"/>
        </w:rPr>
        <w:footnoteRef/>
      </w:r>
      <w:r w:rsidRPr="00A14184">
        <w:rPr>
          <w:rFonts w:ascii="Tahoma" w:hAnsi="Tahoma" w:cs="Tahoma"/>
          <w:lang w:val="en-US"/>
        </w:rPr>
        <w:t xml:space="preserve"> </w:t>
      </w:r>
      <w:r w:rsidRPr="00731FF3">
        <w:rPr>
          <w:rFonts w:ascii="Tahoma" w:hAnsi="Tahoma" w:cs="Tahoma"/>
          <w:i/>
          <w:lang w:val="en-US"/>
        </w:rPr>
        <w:t>P. Martin-Bidou</w:t>
      </w:r>
      <w:r w:rsidRPr="00A14184">
        <w:rPr>
          <w:rFonts w:ascii="Tahoma" w:hAnsi="Tahoma" w:cs="Tahoma"/>
          <w:lang w:val="en-US"/>
        </w:rPr>
        <w:t xml:space="preserve">, </w:t>
      </w:r>
      <w:r w:rsidRPr="00A14184">
        <w:rPr>
          <w:rFonts w:ascii="Tahoma" w:hAnsi="Tahoma" w:cs="Tahoma"/>
        </w:rPr>
        <w:t>ό</w:t>
      </w:r>
      <w:r w:rsidRPr="00A14184">
        <w:rPr>
          <w:rFonts w:ascii="Tahoma" w:hAnsi="Tahoma" w:cs="Tahoma"/>
          <w:lang w:val="en-US"/>
        </w:rPr>
        <w:t>.</w:t>
      </w:r>
      <w:r w:rsidRPr="00A14184">
        <w:rPr>
          <w:rFonts w:ascii="Tahoma" w:hAnsi="Tahoma" w:cs="Tahoma"/>
        </w:rPr>
        <w:t>π</w:t>
      </w:r>
      <w:r w:rsidRPr="00A14184">
        <w:rPr>
          <w:rFonts w:ascii="Tahoma" w:hAnsi="Tahoma" w:cs="Tahoma"/>
          <w:lang w:val="en-US"/>
        </w:rPr>
        <w:t>.</w:t>
      </w:r>
      <w:r w:rsidRPr="00A14184">
        <w:rPr>
          <w:rFonts w:ascii="Tahoma" w:hAnsi="Tahoma" w:cs="Tahoma"/>
          <w:lang w:val="en-GB"/>
        </w:rPr>
        <w:t>,</w:t>
      </w:r>
      <w:r w:rsidRPr="00A14184">
        <w:rPr>
          <w:rFonts w:ascii="Tahoma" w:hAnsi="Tahoma" w:cs="Tahoma"/>
          <w:lang w:val="en-US"/>
        </w:rPr>
        <w:t xml:space="preserve"> </w:t>
      </w:r>
      <w:r w:rsidRPr="00A14184">
        <w:rPr>
          <w:rFonts w:ascii="Tahoma" w:hAnsi="Tahoma" w:cs="Tahoma"/>
        </w:rPr>
        <w:t>σ</w:t>
      </w:r>
      <w:r w:rsidRPr="00A14184">
        <w:rPr>
          <w:rFonts w:ascii="Tahoma" w:hAnsi="Tahoma" w:cs="Tahoma"/>
          <w:lang w:val="en-US"/>
        </w:rPr>
        <w:t>.</w:t>
      </w:r>
      <w:r w:rsidRPr="00A14184">
        <w:rPr>
          <w:rFonts w:ascii="Tahoma" w:hAnsi="Tahoma" w:cs="Tahoma"/>
          <w:lang w:val="en-GB"/>
        </w:rPr>
        <w:t xml:space="preserve"> </w:t>
      </w:r>
      <w:r w:rsidRPr="00A14184">
        <w:rPr>
          <w:rFonts w:ascii="Tahoma" w:hAnsi="Tahoma" w:cs="Tahoma"/>
          <w:lang w:val="en-US"/>
        </w:rPr>
        <w:t>653.</w:t>
      </w:r>
    </w:p>
  </w:footnote>
  <w:footnote w:id="34">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Χαρακτηριστικές είναι οι αποφάσεις των οργάνων του ΠΟΕ, στις οποίες αναφερόμαστε στο Δεύτερο Μέρος.</w:t>
      </w:r>
    </w:p>
  </w:footnote>
  <w:footnote w:id="35">
    <w:p w:rsidR="00D67742" w:rsidRPr="00A14184" w:rsidRDefault="00D67742" w:rsidP="00D67742">
      <w:pPr>
        <w:pStyle w:val="FootnoteText"/>
        <w:jc w:val="both"/>
        <w:rPr>
          <w:rFonts w:ascii="Tahoma" w:hAnsi="Tahoma" w:cs="Tahoma"/>
          <w:lang w:val="en-US"/>
        </w:rPr>
      </w:pPr>
      <w:r w:rsidRPr="00A14184">
        <w:rPr>
          <w:rStyle w:val="FootnoteReference"/>
          <w:rFonts w:ascii="Tahoma" w:hAnsi="Tahoma" w:cs="Tahoma"/>
        </w:rPr>
        <w:footnoteRef/>
      </w:r>
      <w:r w:rsidRPr="00A14184">
        <w:rPr>
          <w:rFonts w:ascii="Tahoma" w:hAnsi="Tahoma" w:cs="Tahoma"/>
          <w:lang w:val="en-US"/>
        </w:rPr>
        <w:t xml:space="preserve"> </w:t>
      </w:r>
      <w:r w:rsidRPr="00731FF3">
        <w:rPr>
          <w:rFonts w:ascii="Tahoma" w:hAnsi="Tahoma" w:cs="Tahoma"/>
          <w:bCs/>
          <w:i/>
          <w:lang w:val="en-US"/>
        </w:rPr>
        <w:t>C.D. Stone</w:t>
      </w:r>
      <w:r w:rsidRPr="00A14184">
        <w:rPr>
          <w:rFonts w:ascii="Tahoma" w:hAnsi="Tahoma" w:cs="Tahoma"/>
          <w:lang w:val="en-US"/>
        </w:rPr>
        <w:t>, “Is There a Precautionary Principle?”, Environmental Law Re</w:t>
      </w:r>
      <w:r>
        <w:rPr>
          <w:rFonts w:ascii="Tahoma" w:hAnsi="Tahoma" w:cs="Tahoma"/>
          <w:lang w:val="en-US"/>
        </w:rPr>
        <w:t>porter, News &amp; Analysis, Vol.</w:t>
      </w:r>
      <w:r w:rsidRPr="00281AB8">
        <w:rPr>
          <w:rFonts w:ascii="Tahoma" w:hAnsi="Tahoma" w:cs="Tahoma"/>
          <w:lang w:val="en-GB"/>
        </w:rPr>
        <w:t xml:space="preserve"> </w:t>
      </w:r>
      <w:r>
        <w:rPr>
          <w:rFonts w:ascii="Tahoma" w:hAnsi="Tahoma" w:cs="Tahoma"/>
          <w:lang w:val="en-US"/>
        </w:rPr>
        <w:t>31</w:t>
      </w:r>
      <w:r w:rsidRPr="00A14184">
        <w:rPr>
          <w:rFonts w:ascii="Tahoma" w:hAnsi="Tahoma" w:cs="Tahoma"/>
          <w:lang w:val="en-US"/>
        </w:rPr>
        <w:t xml:space="preserve">(7), 2001, </w:t>
      </w:r>
      <w:r w:rsidRPr="00A14184">
        <w:rPr>
          <w:rFonts w:ascii="Tahoma" w:hAnsi="Tahoma" w:cs="Tahoma"/>
        </w:rPr>
        <w:t>σ</w:t>
      </w:r>
      <w:r w:rsidRPr="00A14184">
        <w:rPr>
          <w:rFonts w:ascii="Tahoma" w:hAnsi="Tahoma" w:cs="Tahoma"/>
          <w:lang w:val="en-US"/>
        </w:rPr>
        <w:t xml:space="preserve">. 10795.   </w:t>
      </w:r>
    </w:p>
  </w:footnote>
  <w:footnote w:id="36">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rPr>
        <w:t xml:space="preserve"> Όπως π.χ. η Σύμβαση </w:t>
      </w:r>
      <w:r w:rsidRPr="00A14184">
        <w:rPr>
          <w:rFonts w:ascii="Tahoma" w:hAnsi="Tahoma" w:cs="Tahoma"/>
          <w:lang w:val="en-US"/>
        </w:rPr>
        <w:t>OSPAR</w:t>
      </w:r>
      <w:r w:rsidRPr="00A14184">
        <w:rPr>
          <w:rFonts w:ascii="Tahoma" w:hAnsi="Tahoma" w:cs="Tahoma"/>
        </w:rPr>
        <w:t xml:space="preserve">, ό.π., ή η Συμφωνία για τα αποθέματα των ιχθύων. </w:t>
      </w:r>
      <w:r w:rsidRPr="00A14184">
        <w:rPr>
          <w:rFonts w:ascii="Tahoma" w:hAnsi="Tahoma" w:cs="Tahoma"/>
          <w:lang w:val="en-GB"/>
        </w:rPr>
        <w:t>[</w:t>
      </w:r>
      <w:r w:rsidRPr="00A14184">
        <w:rPr>
          <w:rFonts w:ascii="Tahoma" w:hAnsi="Tahoma" w:cs="Tahoma"/>
          <w:bCs/>
          <w:lang w:val="en-US"/>
        </w:rPr>
        <w:t>Agreement for the Implementation of the Provisions of the United Nations Convention on the Law of the Sea of the 10 December 1982 Relating to the Conservation and Management of Straddling Fish Stocks and Highly Migratory Fish Stocks (New York), 4-8-1995,</w:t>
      </w:r>
      <w:r w:rsidRPr="00A14184">
        <w:rPr>
          <w:rFonts w:ascii="Tahoma" w:hAnsi="Tahoma" w:cs="Tahoma"/>
          <w:lang w:val="en-US"/>
        </w:rPr>
        <w:t xml:space="preserve"> 34 ILM,  (1995), </w:t>
      </w:r>
      <w:r w:rsidRPr="00A14184">
        <w:rPr>
          <w:rFonts w:ascii="Tahoma" w:hAnsi="Tahoma" w:cs="Tahoma"/>
        </w:rPr>
        <w:t>σ</w:t>
      </w:r>
      <w:r w:rsidRPr="00A14184">
        <w:rPr>
          <w:rFonts w:ascii="Tahoma" w:hAnsi="Tahoma" w:cs="Tahoma"/>
          <w:lang w:val="en-GB"/>
        </w:rPr>
        <w:t xml:space="preserve">. </w:t>
      </w:r>
      <w:r w:rsidRPr="00A14184">
        <w:rPr>
          <w:rFonts w:ascii="Tahoma" w:hAnsi="Tahoma" w:cs="Tahoma"/>
          <w:lang w:val="en-US"/>
        </w:rPr>
        <w:t>1542</w:t>
      </w:r>
      <w:r w:rsidRPr="00A14184">
        <w:rPr>
          <w:rFonts w:ascii="Tahoma" w:hAnsi="Tahoma" w:cs="Tahoma"/>
          <w:lang w:val="en-GB"/>
        </w:rPr>
        <w:t>].</w:t>
      </w:r>
    </w:p>
  </w:footnote>
  <w:footnote w:id="37">
    <w:p w:rsidR="00D67742" w:rsidRPr="00A14184" w:rsidRDefault="00D67742" w:rsidP="00D67742">
      <w:pPr>
        <w:pStyle w:val="FootnoteText"/>
        <w:jc w:val="both"/>
        <w:rPr>
          <w:rFonts w:ascii="Tahoma" w:hAnsi="Tahoma" w:cs="Tahoma"/>
          <w:lang w:val="en-US"/>
        </w:rPr>
      </w:pPr>
      <w:r w:rsidRPr="00A14184">
        <w:rPr>
          <w:rStyle w:val="FootnoteReference"/>
          <w:rFonts w:ascii="Tahoma" w:hAnsi="Tahoma" w:cs="Tahoma"/>
        </w:rPr>
        <w:footnoteRef/>
      </w:r>
      <w:r>
        <w:rPr>
          <w:rFonts w:ascii="Tahoma" w:hAnsi="Tahoma" w:cs="Tahoma"/>
          <w:lang w:val="en-US"/>
        </w:rPr>
        <w:t xml:space="preserve"> </w:t>
      </w:r>
      <w:r w:rsidRPr="00731FF3">
        <w:rPr>
          <w:rFonts w:ascii="Tahoma" w:hAnsi="Tahoma" w:cs="Tahoma"/>
          <w:i/>
          <w:lang w:val="en-US"/>
        </w:rPr>
        <w:t>A. Nollkaemper</w:t>
      </w:r>
      <w:r>
        <w:rPr>
          <w:rFonts w:ascii="Tahoma" w:hAnsi="Tahoma" w:cs="Tahoma"/>
          <w:lang w:val="en-US"/>
        </w:rPr>
        <w:t xml:space="preserve">, </w:t>
      </w:r>
      <w:r w:rsidRPr="007210C7">
        <w:rPr>
          <w:rFonts w:ascii="Tahoma" w:hAnsi="Tahoma" w:cs="Tahoma"/>
          <w:lang w:val="en-GB"/>
        </w:rPr>
        <w:t>‘‘</w:t>
      </w:r>
      <w:r w:rsidRPr="00A14184">
        <w:rPr>
          <w:rFonts w:ascii="Tahoma" w:hAnsi="Tahoma" w:cs="Tahoma"/>
          <w:lang w:val="en-US"/>
        </w:rPr>
        <w:t xml:space="preserve">What </w:t>
      </w:r>
      <w:r>
        <w:rPr>
          <w:rFonts w:ascii="Tahoma" w:hAnsi="Tahoma" w:cs="Tahoma"/>
          <w:lang w:val="en-US"/>
        </w:rPr>
        <w:t>you risk reveals what you value</w:t>
      </w:r>
      <w:r w:rsidRPr="007210C7">
        <w:rPr>
          <w:rFonts w:ascii="Tahoma" w:hAnsi="Tahoma" w:cs="Tahoma"/>
          <w:lang w:val="en-GB"/>
        </w:rPr>
        <w:t>’’</w:t>
      </w:r>
      <w:r w:rsidRPr="00A14184">
        <w:rPr>
          <w:rFonts w:ascii="Tahoma" w:hAnsi="Tahoma" w:cs="Tahoma"/>
          <w:lang w:val="en-US"/>
        </w:rPr>
        <w:t xml:space="preserve">,  </w:t>
      </w:r>
      <w:r w:rsidRPr="00A14184">
        <w:rPr>
          <w:rFonts w:ascii="Tahoma" w:hAnsi="Tahoma" w:cs="Tahoma"/>
        </w:rPr>
        <w:t>ό</w:t>
      </w:r>
      <w:r w:rsidRPr="00A14184">
        <w:rPr>
          <w:rFonts w:ascii="Tahoma" w:hAnsi="Tahoma" w:cs="Tahoma"/>
          <w:lang w:val="en-US"/>
        </w:rPr>
        <w:t>.</w:t>
      </w:r>
      <w:r w:rsidRPr="00A14184">
        <w:rPr>
          <w:rFonts w:ascii="Tahoma" w:hAnsi="Tahoma" w:cs="Tahoma"/>
        </w:rPr>
        <w:t>π</w:t>
      </w:r>
      <w:r w:rsidRPr="00A14184">
        <w:rPr>
          <w:rFonts w:ascii="Tahoma" w:hAnsi="Tahoma" w:cs="Tahoma"/>
          <w:lang w:val="en-US"/>
        </w:rPr>
        <w:t>.</w:t>
      </w:r>
      <w:r w:rsidRPr="00A14184">
        <w:rPr>
          <w:rFonts w:ascii="Tahoma" w:hAnsi="Tahoma" w:cs="Tahoma"/>
          <w:lang w:val="en-GB"/>
        </w:rPr>
        <w:t>,</w:t>
      </w:r>
      <w:r w:rsidRPr="00A14184">
        <w:rPr>
          <w:rFonts w:ascii="Tahoma" w:hAnsi="Tahoma" w:cs="Tahoma"/>
          <w:lang w:val="en-US"/>
        </w:rPr>
        <w:t xml:space="preserve"> </w:t>
      </w:r>
      <w:r w:rsidRPr="00A14184">
        <w:rPr>
          <w:rFonts w:ascii="Tahoma" w:hAnsi="Tahoma" w:cs="Tahoma"/>
        </w:rPr>
        <w:t>σ</w:t>
      </w:r>
      <w:r w:rsidRPr="00A14184">
        <w:rPr>
          <w:rFonts w:ascii="Tahoma" w:hAnsi="Tahoma" w:cs="Tahoma"/>
          <w:lang w:val="en-US"/>
        </w:rPr>
        <w:t>.</w:t>
      </w:r>
      <w:r w:rsidRPr="00A14184">
        <w:rPr>
          <w:rFonts w:ascii="Tahoma" w:hAnsi="Tahoma" w:cs="Tahoma"/>
          <w:lang w:val="en-GB"/>
        </w:rPr>
        <w:t xml:space="preserve"> </w:t>
      </w:r>
      <w:r w:rsidRPr="00A14184">
        <w:rPr>
          <w:rFonts w:ascii="Tahoma" w:hAnsi="Tahoma" w:cs="Tahoma"/>
          <w:lang w:val="en-US"/>
        </w:rPr>
        <w:t>76.</w:t>
      </w:r>
    </w:p>
  </w:footnote>
  <w:footnote w:id="38">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Όπως π.χ. στη Σύμβαση του Μπαμάκο, ό.π. ή στη Σύμβαση για τη βιολογική ποικιλομορφία. </w:t>
      </w:r>
      <w:r w:rsidRPr="00A14184">
        <w:rPr>
          <w:rFonts w:ascii="Tahoma" w:hAnsi="Tahoma" w:cs="Tahoma"/>
          <w:lang w:val="en-GB"/>
        </w:rPr>
        <w:t>[</w:t>
      </w:r>
      <w:r w:rsidRPr="00A14184">
        <w:rPr>
          <w:rFonts w:ascii="Tahoma" w:hAnsi="Tahoma" w:cs="Tahoma"/>
          <w:lang w:val="en-US"/>
        </w:rPr>
        <w:t>Convention on Biological Diversity,</w:t>
      </w:r>
      <w:r w:rsidRPr="007151A8">
        <w:rPr>
          <w:rFonts w:ascii="Tahoma" w:hAnsi="Tahoma" w:cs="Tahoma"/>
          <w:lang w:val="en-GB"/>
        </w:rPr>
        <w:t xml:space="preserve"> </w:t>
      </w:r>
      <w:smartTag w:uri="urn:schemas-microsoft-com:office:smarttags" w:element="date">
        <w:smartTagPr>
          <w:attr w:name="Month" w:val="5"/>
          <w:attr w:name="Day" w:val="22"/>
          <w:attr w:name="Year" w:val="1992"/>
        </w:smartTagPr>
        <w:r w:rsidRPr="00A14184">
          <w:rPr>
            <w:rFonts w:ascii="Tahoma" w:hAnsi="Tahoma" w:cs="Tahoma"/>
            <w:lang w:val="en-US"/>
          </w:rPr>
          <w:t>22 May 1992</w:t>
        </w:r>
      </w:smartTag>
      <w:r w:rsidRPr="00A14184">
        <w:rPr>
          <w:rFonts w:ascii="Tahoma" w:hAnsi="Tahoma" w:cs="Tahoma"/>
          <w:lang w:val="en-US"/>
        </w:rPr>
        <w:t>, UN Doc.UNEP/ Bio.Div./ Conf./ L.2, ILM</w:t>
      </w:r>
      <w:r w:rsidRPr="00A14184">
        <w:rPr>
          <w:rFonts w:ascii="Tahoma" w:hAnsi="Tahoma" w:cs="Tahoma"/>
          <w:lang w:val="en-GB"/>
        </w:rPr>
        <w:t xml:space="preserve"> </w:t>
      </w:r>
      <w:r w:rsidRPr="00A14184">
        <w:rPr>
          <w:rFonts w:ascii="Tahoma" w:hAnsi="Tahoma" w:cs="Tahoma"/>
          <w:lang w:val="en-US"/>
        </w:rPr>
        <w:t xml:space="preserve">(1992) </w:t>
      </w:r>
      <w:r w:rsidRPr="00A14184">
        <w:rPr>
          <w:rFonts w:ascii="Tahoma" w:hAnsi="Tahoma" w:cs="Tahoma"/>
        </w:rPr>
        <w:t>σ</w:t>
      </w:r>
      <w:r w:rsidRPr="00A14184">
        <w:rPr>
          <w:rFonts w:ascii="Tahoma" w:hAnsi="Tahoma" w:cs="Tahoma"/>
          <w:lang w:val="en-US"/>
        </w:rPr>
        <w:t xml:space="preserve">. 822. </w:t>
      </w:r>
      <w:r w:rsidRPr="00A14184">
        <w:rPr>
          <w:rFonts w:ascii="Tahoma" w:hAnsi="Tahoma" w:cs="Tahoma"/>
        </w:rPr>
        <w:t>Τέθηκε σε ισχύ στις 29-12-1993. Η Ελλάδα τη κύρωσε με το Ν. 2204/ 1994].</w:t>
      </w:r>
    </w:p>
  </w:footnote>
  <w:footnote w:id="39">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731FF3">
        <w:rPr>
          <w:rFonts w:ascii="Tahoma" w:hAnsi="Tahoma" w:cs="Tahoma"/>
          <w:i/>
          <w:lang w:val="en-US"/>
        </w:rPr>
        <w:t>N. de Sadeleer</w:t>
      </w:r>
      <w:r w:rsidRPr="00A14184">
        <w:rPr>
          <w:rFonts w:ascii="Tahoma" w:hAnsi="Tahoma" w:cs="Tahoma"/>
          <w:lang w:val="en-US"/>
        </w:rPr>
        <w:t>, “The effect of uncertainty on the threshold levels to which the precautionary principle appears to be subject”,</w:t>
      </w:r>
      <w:r w:rsidRPr="00A14184">
        <w:rPr>
          <w:rFonts w:ascii="Tahoma" w:hAnsi="Tahoma" w:cs="Tahoma"/>
          <w:lang w:val="en-GB"/>
        </w:rPr>
        <w:t xml:space="preserve">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37.</w:t>
      </w:r>
    </w:p>
  </w:footnote>
  <w:footnote w:id="40">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731FF3">
        <w:rPr>
          <w:rFonts w:ascii="Tahoma" w:hAnsi="Tahoma" w:cs="Tahoma"/>
          <w:i/>
          <w:lang w:val="en-GB"/>
        </w:rPr>
        <w:t>WHO</w:t>
      </w:r>
      <w:r w:rsidRPr="00A14184">
        <w:rPr>
          <w:rFonts w:ascii="Tahoma" w:hAnsi="Tahoma" w:cs="Tahoma"/>
          <w:lang w:val="en-GB"/>
        </w:rPr>
        <w:t xml:space="preserve">, A Report of </w:t>
      </w:r>
      <w:r>
        <w:rPr>
          <w:rFonts w:ascii="Tahoma" w:hAnsi="Tahoma" w:cs="Tahoma"/>
          <w:lang w:val="en-GB"/>
        </w:rPr>
        <w:t>Millennium Ecosystem Assessment</w:t>
      </w:r>
      <w:r w:rsidRPr="00731FF3">
        <w:rPr>
          <w:rFonts w:ascii="Tahoma" w:hAnsi="Tahoma" w:cs="Tahoma"/>
          <w:lang w:val="en-GB"/>
        </w:rPr>
        <w:t>:</w:t>
      </w:r>
      <w:r w:rsidRPr="00A14184">
        <w:rPr>
          <w:rFonts w:ascii="Tahoma" w:hAnsi="Tahoma" w:cs="Tahoma"/>
          <w:lang w:val="en-GB"/>
        </w:rPr>
        <w:t xml:space="preserve"> Ecosystems and human well-being. Health synrhesis,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xml:space="preserve">. 37. </w:t>
      </w:r>
    </w:p>
  </w:footnote>
  <w:footnote w:id="41">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5F60BA">
        <w:rPr>
          <w:rFonts w:ascii="Tahoma" w:hAnsi="Tahoma" w:cs="Tahoma"/>
          <w:i/>
          <w:lang w:val="en-US"/>
        </w:rPr>
        <w:t>F. Ackerman, L. Heinzerling</w:t>
      </w:r>
      <w:r w:rsidRPr="00A14184">
        <w:rPr>
          <w:rFonts w:ascii="Tahoma" w:hAnsi="Tahoma" w:cs="Tahoma"/>
          <w:lang w:val="en-US"/>
        </w:rPr>
        <w:t>, Priceless. On Knowing the Price of Everything and the Value of Nothing,</w:t>
      </w:r>
      <w:r w:rsidRPr="00A14184">
        <w:rPr>
          <w:rFonts w:ascii="Tahoma" w:hAnsi="Tahoma" w:cs="Tahoma"/>
          <w:lang w:val="en-GB"/>
        </w:rPr>
        <w:t xml:space="preserve">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226-227.</w:t>
      </w:r>
    </w:p>
  </w:footnote>
  <w:footnote w:id="42">
    <w:p w:rsidR="00D67742" w:rsidRPr="00A14184" w:rsidRDefault="00D67742" w:rsidP="00D67742">
      <w:pPr>
        <w:pStyle w:val="FootnoteText"/>
        <w:jc w:val="both"/>
        <w:rPr>
          <w:rFonts w:ascii="Tahoma" w:hAnsi="Tahoma" w:cs="Tahoma"/>
          <w:lang w:val="en-US"/>
        </w:rPr>
      </w:pPr>
      <w:r w:rsidRPr="00A14184">
        <w:rPr>
          <w:rStyle w:val="FootnoteReference"/>
          <w:rFonts w:ascii="Tahoma" w:hAnsi="Tahoma" w:cs="Tahoma"/>
        </w:rPr>
        <w:footnoteRef/>
      </w:r>
      <w:r w:rsidRPr="00A14184">
        <w:rPr>
          <w:rFonts w:ascii="Tahoma" w:hAnsi="Tahoma" w:cs="Tahoma"/>
          <w:lang w:val="en-US"/>
        </w:rPr>
        <w:t xml:space="preserve"> </w:t>
      </w:r>
      <w:r w:rsidRPr="005F60BA">
        <w:rPr>
          <w:rFonts w:ascii="Tahoma" w:hAnsi="Tahoma" w:cs="Tahoma"/>
          <w:i/>
          <w:lang w:val="en-US"/>
        </w:rPr>
        <w:t>P. Martin-Bidou</w:t>
      </w:r>
      <w:r w:rsidRPr="00A14184">
        <w:rPr>
          <w:rFonts w:ascii="Tahoma" w:hAnsi="Tahoma" w:cs="Tahoma"/>
          <w:lang w:val="en-US"/>
        </w:rPr>
        <w:t xml:space="preserve">, </w:t>
      </w:r>
      <w:r w:rsidRPr="00A14184">
        <w:rPr>
          <w:rFonts w:ascii="Tahoma" w:hAnsi="Tahoma" w:cs="Tahoma"/>
        </w:rPr>
        <w:t>ό</w:t>
      </w:r>
      <w:r w:rsidRPr="00A14184">
        <w:rPr>
          <w:rFonts w:ascii="Tahoma" w:hAnsi="Tahoma" w:cs="Tahoma"/>
          <w:lang w:val="en-US"/>
        </w:rPr>
        <w:t>.</w:t>
      </w:r>
      <w:r w:rsidRPr="00A14184">
        <w:rPr>
          <w:rFonts w:ascii="Tahoma" w:hAnsi="Tahoma" w:cs="Tahoma"/>
        </w:rPr>
        <w:t>π</w:t>
      </w:r>
      <w:r w:rsidRPr="00A14184">
        <w:rPr>
          <w:rFonts w:ascii="Tahoma" w:hAnsi="Tahoma" w:cs="Tahoma"/>
          <w:lang w:val="en-US"/>
        </w:rPr>
        <w:t xml:space="preserve">. </w:t>
      </w:r>
      <w:r w:rsidRPr="00A14184">
        <w:rPr>
          <w:rFonts w:ascii="Tahoma" w:hAnsi="Tahoma" w:cs="Tahoma"/>
        </w:rPr>
        <w:t>σ</w:t>
      </w:r>
      <w:r w:rsidRPr="00A14184">
        <w:rPr>
          <w:rFonts w:ascii="Tahoma" w:hAnsi="Tahoma" w:cs="Tahoma"/>
          <w:lang w:val="en-GB"/>
        </w:rPr>
        <w:t xml:space="preserve">. </w:t>
      </w:r>
      <w:r w:rsidRPr="00A14184">
        <w:rPr>
          <w:rFonts w:ascii="Tahoma" w:hAnsi="Tahoma" w:cs="Tahoma"/>
          <w:lang w:val="en-US"/>
        </w:rPr>
        <w:t>658</w:t>
      </w:r>
      <w:r w:rsidRPr="005F60BA">
        <w:rPr>
          <w:rFonts w:ascii="Tahoma" w:hAnsi="Tahoma" w:cs="Tahoma"/>
          <w:lang w:val="en-GB"/>
        </w:rPr>
        <w:t>.</w:t>
      </w:r>
      <w:r>
        <w:rPr>
          <w:rFonts w:ascii="Tahoma" w:hAnsi="Tahoma" w:cs="Tahoma"/>
          <w:lang w:val="en-US"/>
        </w:rPr>
        <w:t xml:space="preserve"> </w:t>
      </w:r>
      <w:r w:rsidRPr="005F60BA">
        <w:rPr>
          <w:rFonts w:ascii="Tahoma" w:hAnsi="Tahoma" w:cs="Tahoma"/>
          <w:i/>
          <w:lang w:val="en-US"/>
        </w:rPr>
        <w:t>L. Gundling</w:t>
      </w:r>
      <w:r>
        <w:rPr>
          <w:rFonts w:ascii="Tahoma" w:hAnsi="Tahoma" w:cs="Tahoma"/>
          <w:lang w:val="en-US"/>
        </w:rPr>
        <w:t xml:space="preserve">, </w:t>
      </w:r>
      <w:r w:rsidRPr="007210C7">
        <w:rPr>
          <w:rFonts w:ascii="Tahoma" w:hAnsi="Tahoma" w:cs="Tahoma"/>
          <w:lang w:val="en-GB"/>
        </w:rPr>
        <w:t>‘‘</w:t>
      </w:r>
      <w:r w:rsidRPr="00A14184">
        <w:rPr>
          <w:rFonts w:ascii="Tahoma" w:hAnsi="Tahoma" w:cs="Tahoma"/>
          <w:lang w:val="en-US"/>
        </w:rPr>
        <w:t>The Status in International Law of the Pr</w:t>
      </w:r>
      <w:r>
        <w:rPr>
          <w:rFonts w:ascii="Tahoma" w:hAnsi="Tahoma" w:cs="Tahoma"/>
          <w:lang w:val="en-US"/>
        </w:rPr>
        <w:t>inciple of Precautionary Action</w:t>
      </w:r>
      <w:r w:rsidRPr="007210C7">
        <w:rPr>
          <w:rFonts w:ascii="Tahoma" w:hAnsi="Tahoma" w:cs="Tahoma"/>
          <w:lang w:val="en-GB"/>
        </w:rPr>
        <w:t>’’</w:t>
      </w:r>
      <w:r w:rsidRPr="00A14184">
        <w:rPr>
          <w:rFonts w:ascii="Tahoma" w:hAnsi="Tahoma" w:cs="Tahoma"/>
          <w:lang w:val="en-US"/>
        </w:rPr>
        <w:t xml:space="preserve">, in: </w:t>
      </w:r>
      <w:r w:rsidRPr="005F60BA">
        <w:rPr>
          <w:rFonts w:ascii="Tahoma" w:hAnsi="Tahoma" w:cs="Tahoma"/>
          <w:i/>
          <w:lang w:val="en-US"/>
        </w:rPr>
        <w:t>D. Freestone, Ton Ijlstra</w:t>
      </w:r>
      <w:r w:rsidRPr="00A14184">
        <w:rPr>
          <w:rFonts w:ascii="Tahoma" w:hAnsi="Tahoma" w:cs="Tahoma"/>
          <w:lang w:val="en-US"/>
        </w:rPr>
        <w:t xml:space="preserve"> (eds), </w:t>
      </w:r>
      <w:r w:rsidRPr="00A14184">
        <w:rPr>
          <w:rFonts w:ascii="Tahoma" w:hAnsi="Tahoma" w:cs="Tahoma"/>
        </w:rPr>
        <w:t>ό</w:t>
      </w:r>
      <w:r w:rsidRPr="00A14184">
        <w:rPr>
          <w:rFonts w:ascii="Tahoma" w:hAnsi="Tahoma" w:cs="Tahoma"/>
          <w:lang w:val="en-US"/>
        </w:rPr>
        <w:t>.</w:t>
      </w:r>
      <w:r w:rsidRPr="00A14184">
        <w:rPr>
          <w:rFonts w:ascii="Tahoma" w:hAnsi="Tahoma" w:cs="Tahoma"/>
        </w:rPr>
        <w:t>π</w:t>
      </w:r>
      <w:r w:rsidRPr="00A14184">
        <w:rPr>
          <w:rFonts w:ascii="Tahoma" w:hAnsi="Tahoma" w:cs="Tahoma"/>
          <w:lang w:val="en-US"/>
        </w:rPr>
        <w:t>.</w:t>
      </w:r>
      <w:r w:rsidRPr="00A14184">
        <w:rPr>
          <w:rFonts w:ascii="Tahoma" w:hAnsi="Tahoma" w:cs="Tahoma"/>
          <w:lang w:val="en-GB"/>
        </w:rPr>
        <w:t>,</w:t>
      </w:r>
      <w:r w:rsidRPr="00A14184">
        <w:rPr>
          <w:rFonts w:ascii="Tahoma" w:hAnsi="Tahoma" w:cs="Tahoma"/>
          <w:lang w:val="en-US"/>
        </w:rPr>
        <w:t xml:space="preserve"> </w:t>
      </w:r>
      <w:r w:rsidRPr="00A14184">
        <w:rPr>
          <w:rFonts w:ascii="Tahoma" w:hAnsi="Tahoma" w:cs="Tahoma"/>
        </w:rPr>
        <w:t>σ</w:t>
      </w:r>
      <w:r w:rsidRPr="00A14184">
        <w:rPr>
          <w:rFonts w:ascii="Tahoma" w:hAnsi="Tahoma" w:cs="Tahoma"/>
          <w:lang w:val="en-US"/>
        </w:rPr>
        <w:t>.</w:t>
      </w:r>
      <w:r w:rsidRPr="00A14184">
        <w:rPr>
          <w:rFonts w:ascii="Tahoma" w:hAnsi="Tahoma" w:cs="Tahoma"/>
          <w:lang w:val="en-GB"/>
        </w:rPr>
        <w:t xml:space="preserve"> </w:t>
      </w:r>
      <w:r>
        <w:rPr>
          <w:rFonts w:ascii="Tahoma" w:hAnsi="Tahoma" w:cs="Tahoma"/>
          <w:lang w:val="en-US"/>
        </w:rPr>
        <w:t>23-30</w:t>
      </w:r>
      <w:r w:rsidRPr="005F60BA">
        <w:rPr>
          <w:rFonts w:ascii="Tahoma" w:hAnsi="Tahoma" w:cs="Tahoma"/>
          <w:lang w:val="en-GB"/>
        </w:rPr>
        <w:t>.</w:t>
      </w:r>
      <w:r>
        <w:rPr>
          <w:rFonts w:ascii="Tahoma" w:hAnsi="Tahoma" w:cs="Tahoma"/>
          <w:lang w:val="en-US"/>
        </w:rPr>
        <w:t xml:space="preserve"> </w:t>
      </w:r>
      <w:r w:rsidRPr="005F60BA">
        <w:rPr>
          <w:rFonts w:ascii="Tahoma" w:hAnsi="Tahoma" w:cs="Tahoma"/>
          <w:i/>
          <w:lang w:val="en-US"/>
        </w:rPr>
        <w:t>J.</w:t>
      </w:r>
      <w:r w:rsidRPr="005F60BA">
        <w:rPr>
          <w:rFonts w:ascii="Tahoma" w:hAnsi="Tahoma" w:cs="Tahoma"/>
          <w:i/>
          <w:lang w:val="en-GB"/>
        </w:rPr>
        <w:t xml:space="preserve"> </w:t>
      </w:r>
      <w:r w:rsidRPr="005F60BA">
        <w:rPr>
          <w:rFonts w:ascii="Tahoma" w:hAnsi="Tahoma" w:cs="Tahoma"/>
          <w:i/>
          <w:lang w:val="en-US"/>
        </w:rPr>
        <w:t>Cameron, J. Abouchar</w:t>
      </w:r>
      <w:r>
        <w:rPr>
          <w:rFonts w:ascii="Tahoma" w:hAnsi="Tahoma" w:cs="Tahoma"/>
          <w:lang w:val="en-US"/>
        </w:rPr>
        <w:t xml:space="preserve">, </w:t>
      </w:r>
      <w:r w:rsidRPr="007210C7">
        <w:rPr>
          <w:rFonts w:ascii="Tahoma" w:hAnsi="Tahoma" w:cs="Tahoma"/>
          <w:lang w:val="en-GB"/>
        </w:rPr>
        <w:t>‘‘</w:t>
      </w:r>
      <w:r w:rsidRPr="00A14184">
        <w:rPr>
          <w:rFonts w:ascii="Tahoma" w:hAnsi="Tahoma" w:cs="Tahoma"/>
          <w:lang w:val="en-US"/>
        </w:rPr>
        <w:t>The Precautionary Principle</w:t>
      </w:r>
      <w:r>
        <w:rPr>
          <w:rFonts w:ascii="Tahoma" w:hAnsi="Tahoma" w:cs="Tahoma"/>
          <w:lang w:val="en-US"/>
        </w:rPr>
        <w:t>: A Fundamental Principle......</w:t>
      </w:r>
      <w:r w:rsidRPr="007210C7">
        <w:rPr>
          <w:rFonts w:ascii="Tahoma" w:hAnsi="Tahoma" w:cs="Tahoma"/>
          <w:lang w:val="en-GB"/>
        </w:rPr>
        <w:t>’’</w:t>
      </w:r>
      <w:r w:rsidRPr="00A14184">
        <w:rPr>
          <w:rFonts w:ascii="Tahoma" w:hAnsi="Tahoma" w:cs="Tahoma"/>
          <w:lang w:val="en-US"/>
        </w:rPr>
        <w:t xml:space="preserve">, </w:t>
      </w:r>
      <w:r w:rsidRPr="00A14184">
        <w:rPr>
          <w:rFonts w:ascii="Tahoma" w:hAnsi="Tahoma" w:cs="Tahoma"/>
        </w:rPr>
        <w:t>ό</w:t>
      </w:r>
      <w:r w:rsidRPr="00A14184">
        <w:rPr>
          <w:rFonts w:ascii="Tahoma" w:hAnsi="Tahoma" w:cs="Tahoma"/>
          <w:lang w:val="en-US"/>
        </w:rPr>
        <w:t>.</w:t>
      </w:r>
      <w:r w:rsidRPr="00A14184">
        <w:rPr>
          <w:rFonts w:ascii="Tahoma" w:hAnsi="Tahoma" w:cs="Tahoma"/>
        </w:rPr>
        <w:t>π</w:t>
      </w:r>
      <w:r w:rsidRPr="00A14184">
        <w:rPr>
          <w:rFonts w:ascii="Tahoma" w:hAnsi="Tahoma" w:cs="Tahoma"/>
          <w:lang w:val="en-US"/>
        </w:rPr>
        <w:t>.</w:t>
      </w:r>
      <w:r w:rsidRPr="00A14184">
        <w:rPr>
          <w:rFonts w:ascii="Tahoma" w:hAnsi="Tahoma" w:cs="Tahoma"/>
          <w:lang w:val="en-GB"/>
        </w:rPr>
        <w:t>,</w:t>
      </w:r>
      <w:r w:rsidRPr="00A14184">
        <w:rPr>
          <w:rFonts w:ascii="Tahoma" w:hAnsi="Tahoma" w:cs="Tahoma"/>
          <w:lang w:val="en-US"/>
        </w:rPr>
        <w:t xml:space="preserve"> </w:t>
      </w:r>
      <w:r w:rsidRPr="00A14184">
        <w:rPr>
          <w:rFonts w:ascii="Tahoma" w:hAnsi="Tahoma" w:cs="Tahoma"/>
        </w:rPr>
        <w:t>σ</w:t>
      </w:r>
      <w:r w:rsidRPr="00A14184">
        <w:rPr>
          <w:rFonts w:ascii="Tahoma" w:hAnsi="Tahoma" w:cs="Tahoma"/>
          <w:lang w:val="en-US"/>
        </w:rPr>
        <w:t>.</w:t>
      </w:r>
      <w:r w:rsidRPr="00A14184">
        <w:rPr>
          <w:rFonts w:ascii="Tahoma" w:hAnsi="Tahoma" w:cs="Tahoma"/>
          <w:lang w:val="en-GB"/>
        </w:rPr>
        <w:t xml:space="preserve"> </w:t>
      </w:r>
      <w:r w:rsidRPr="00A14184">
        <w:rPr>
          <w:rFonts w:ascii="Tahoma" w:hAnsi="Tahoma" w:cs="Tahoma"/>
          <w:lang w:val="en-US"/>
        </w:rPr>
        <w:t>1-27.</w:t>
      </w:r>
    </w:p>
  </w:footnote>
  <w:footnote w:id="43">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Pr>
          <w:rFonts w:ascii="Tahoma" w:hAnsi="Tahoma" w:cs="Tahoma"/>
        </w:rPr>
        <w:t>Βλ</w:t>
      </w:r>
      <w:r w:rsidRPr="0097644B">
        <w:rPr>
          <w:rFonts w:ascii="Tahoma" w:hAnsi="Tahoma" w:cs="Tahoma"/>
          <w:lang w:val="en-GB"/>
        </w:rPr>
        <w:t>.,</w:t>
      </w:r>
      <w:r w:rsidRPr="006D5EF3">
        <w:rPr>
          <w:rFonts w:ascii="Tahoma" w:hAnsi="Tahoma" w:cs="Tahoma"/>
          <w:lang w:val="en-GB"/>
        </w:rPr>
        <w:t xml:space="preserve"> </w:t>
      </w:r>
      <w:r>
        <w:rPr>
          <w:rFonts w:ascii="Tahoma" w:hAnsi="Tahoma" w:cs="Tahoma"/>
        </w:rPr>
        <w:t>α</w:t>
      </w:r>
      <w:r w:rsidRPr="00A14184">
        <w:rPr>
          <w:rFonts w:ascii="Tahoma" w:hAnsi="Tahoma" w:cs="Tahoma"/>
        </w:rPr>
        <w:t>ντί</w:t>
      </w:r>
      <w:r w:rsidRPr="00A14184">
        <w:rPr>
          <w:rFonts w:ascii="Tahoma" w:hAnsi="Tahoma" w:cs="Tahoma"/>
          <w:lang w:val="en-GB"/>
        </w:rPr>
        <w:t xml:space="preserve"> </w:t>
      </w:r>
      <w:r w:rsidRPr="00A14184">
        <w:rPr>
          <w:rFonts w:ascii="Tahoma" w:hAnsi="Tahoma" w:cs="Tahoma"/>
        </w:rPr>
        <w:t>άλλων</w:t>
      </w:r>
      <w:r w:rsidRPr="00A14184">
        <w:rPr>
          <w:rFonts w:ascii="Tahoma" w:hAnsi="Tahoma" w:cs="Tahoma"/>
          <w:lang w:val="en-GB"/>
        </w:rPr>
        <w:t xml:space="preserve">, </w:t>
      </w:r>
      <w:r w:rsidRPr="00956EAC">
        <w:rPr>
          <w:rFonts w:ascii="Tahoma" w:hAnsi="Tahoma" w:cs="Tahoma"/>
          <w:i/>
          <w:lang w:val="en-US"/>
        </w:rPr>
        <w:t>P</w:t>
      </w:r>
      <w:r w:rsidRPr="00956EAC">
        <w:rPr>
          <w:rFonts w:ascii="Tahoma" w:hAnsi="Tahoma" w:cs="Tahoma"/>
          <w:i/>
          <w:lang w:val="en-GB"/>
        </w:rPr>
        <w:t xml:space="preserve">. </w:t>
      </w:r>
      <w:r w:rsidRPr="00956EAC">
        <w:rPr>
          <w:rFonts w:ascii="Tahoma" w:hAnsi="Tahoma" w:cs="Tahoma"/>
          <w:i/>
          <w:lang w:val="en-US"/>
        </w:rPr>
        <w:t>Birnie</w:t>
      </w:r>
      <w:r w:rsidRPr="00956EAC">
        <w:rPr>
          <w:rFonts w:ascii="Tahoma" w:hAnsi="Tahoma" w:cs="Tahoma"/>
          <w:i/>
          <w:lang w:val="en-GB"/>
        </w:rPr>
        <w:t xml:space="preserve">, </w:t>
      </w:r>
      <w:r w:rsidRPr="00956EAC">
        <w:rPr>
          <w:rFonts w:ascii="Tahoma" w:hAnsi="Tahoma" w:cs="Tahoma"/>
          <w:i/>
          <w:lang w:val="en-US"/>
        </w:rPr>
        <w:t>A</w:t>
      </w:r>
      <w:r w:rsidRPr="00956EAC">
        <w:rPr>
          <w:rFonts w:ascii="Tahoma" w:hAnsi="Tahoma" w:cs="Tahoma"/>
          <w:i/>
          <w:lang w:val="en-GB"/>
        </w:rPr>
        <w:t xml:space="preserve">. </w:t>
      </w:r>
      <w:r w:rsidRPr="00956EAC">
        <w:rPr>
          <w:rFonts w:ascii="Tahoma" w:hAnsi="Tahoma" w:cs="Tahoma"/>
          <w:i/>
          <w:lang w:val="en-US"/>
        </w:rPr>
        <w:t>Boyle</w:t>
      </w:r>
      <w:r w:rsidRPr="00A14184">
        <w:rPr>
          <w:rFonts w:ascii="Tahoma" w:hAnsi="Tahoma" w:cs="Tahoma"/>
          <w:lang w:val="en-US"/>
        </w:rPr>
        <w:t xml:space="preserve">, International Law and the Environment, </w:t>
      </w:r>
      <w:smartTag w:uri="urn:schemas-microsoft-com:office:smarttags" w:element="City">
        <w:smartTag w:uri="urn:schemas-microsoft-com:office:smarttags" w:element="place">
          <w:r w:rsidRPr="00A14184">
            <w:rPr>
              <w:rFonts w:ascii="Tahoma" w:hAnsi="Tahoma" w:cs="Tahoma"/>
              <w:lang w:val="en-US"/>
            </w:rPr>
            <w:t>Oxford</w:t>
          </w:r>
        </w:smartTag>
      </w:smartTag>
      <w:r w:rsidRPr="00A14184">
        <w:rPr>
          <w:rFonts w:ascii="Tahoma" w:hAnsi="Tahoma" w:cs="Tahoma"/>
          <w:lang w:val="en-US"/>
        </w:rPr>
        <w:t xml:space="preserve">, </w:t>
      </w:r>
      <w:smartTag w:uri="urn:schemas-microsoft-com:office:smarttags" w:element="place">
        <w:smartTag w:uri="urn:schemas-microsoft-com:office:smarttags" w:element="PlaceName">
          <w:r w:rsidRPr="00A14184">
            <w:rPr>
              <w:rFonts w:ascii="Tahoma" w:hAnsi="Tahoma" w:cs="Tahoma"/>
              <w:lang w:val="en-US"/>
            </w:rPr>
            <w:t>Oxford</w:t>
          </w:r>
        </w:smartTag>
        <w:r w:rsidRPr="00A14184">
          <w:rPr>
            <w:rFonts w:ascii="Tahoma" w:hAnsi="Tahoma" w:cs="Tahoma"/>
            <w:lang w:val="en-US"/>
          </w:rPr>
          <w:t xml:space="preserve"> </w:t>
        </w:r>
        <w:smartTag w:uri="urn:schemas-microsoft-com:office:smarttags" w:element="PlaceType">
          <w:r w:rsidRPr="00A14184">
            <w:rPr>
              <w:rFonts w:ascii="Tahoma" w:hAnsi="Tahoma" w:cs="Tahoma"/>
              <w:lang w:val="en-US"/>
            </w:rPr>
            <w:t>University</w:t>
          </w:r>
        </w:smartTag>
      </w:smartTag>
      <w:r w:rsidRPr="00A14184">
        <w:rPr>
          <w:rFonts w:ascii="Tahoma" w:hAnsi="Tahoma" w:cs="Tahoma"/>
          <w:lang w:val="en-US"/>
        </w:rPr>
        <w:t xml:space="preserve"> Press, 2002, σ. </w:t>
      </w:r>
      <w:r w:rsidRPr="00A14184">
        <w:rPr>
          <w:rFonts w:ascii="Tahoma" w:hAnsi="Tahoma" w:cs="Tahoma"/>
          <w:lang w:val="en-GB"/>
        </w:rPr>
        <w:t>116.</w:t>
      </w:r>
    </w:p>
  </w:footnote>
  <w:footnote w:id="44">
    <w:p w:rsidR="00D67742" w:rsidRPr="007210C7"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D67742">
        <w:rPr>
          <w:rFonts w:ascii="Tahoma" w:hAnsi="Tahoma" w:cs="Tahoma"/>
        </w:rPr>
        <w:t xml:space="preserve"> </w:t>
      </w:r>
      <w:r w:rsidRPr="00A14184">
        <w:rPr>
          <w:rFonts w:ascii="Tahoma" w:hAnsi="Tahoma" w:cs="Tahoma"/>
        </w:rPr>
        <w:t>Γι</w:t>
      </w:r>
      <w:r w:rsidRPr="00D67742">
        <w:rPr>
          <w:rFonts w:ascii="Tahoma" w:hAnsi="Tahoma" w:cs="Tahoma"/>
        </w:rPr>
        <w:t xml:space="preserve">’ </w:t>
      </w:r>
      <w:r w:rsidRPr="00A14184">
        <w:rPr>
          <w:rFonts w:ascii="Tahoma" w:hAnsi="Tahoma" w:cs="Tahoma"/>
        </w:rPr>
        <w:t>αυτές</w:t>
      </w:r>
      <w:r w:rsidRPr="00D67742">
        <w:rPr>
          <w:rFonts w:ascii="Tahoma" w:hAnsi="Tahoma" w:cs="Tahoma"/>
        </w:rPr>
        <w:t xml:space="preserve">, </w:t>
      </w:r>
      <w:r w:rsidRPr="00A14184">
        <w:rPr>
          <w:rFonts w:ascii="Tahoma" w:hAnsi="Tahoma" w:cs="Tahoma"/>
        </w:rPr>
        <w:t>βλ</w:t>
      </w:r>
      <w:r w:rsidRPr="00D67742">
        <w:rPr>
          <w:rFonts w:ascii="Tahoma" w:hAnsi="Tahoma" w:cs="Tahoma"/>
        </w:rPr>
        <w:t xml:space="preserve">., </w:t>
      </w:r>
      <w:r w:rsidRPr="00956EAC">
        <w:rPr>
          <w:rFonts w:ascii="Tahoma" w:hAnsi="Tahoma" w:cs="Tahoma"/>
          <w:i/>
        </w:rPr>
        <w:t>Γ</w:t>
      </w:r>
      <w:r w:rsidRPr="00D67742">
        <w:rPr>
          <w:rFonts w:ascii="Tahoma" w:hAnsi="Tahoma" w:cs="Tahoma"/>
          <w:i/>
        </w:rPr>
        <w:t xml:space="preserve">. </w:t>
      </w:r>
      <w:r w:rsidRPr="00956EAC">
        <w:rPr>
          <w:rFonts w:ascii="Tahoma" w:hAnsi="Tahoma" w:cs="Tahoma"/>
          <w:i/>
        </w:rPr>
        <w:t>Μπάλια</w:t>
      </w:r>
      <w:r w:rsidRPr="00D67742">
        <w:rPr>
          <w:rFonts w:ascii="Tahoma" w:hAnsi="Tahoma" w:cs="Tahoma"/>
        </w:rPr>
        <w:t xml:space="preserve">, </w:t>
      </w:r>
      <w:r w:rsidRPr="00A14184">
        <w:rPr>
          <w:rFonts w:ascii="Tahoma" w:hAnsi="Tahoma" w:cs="Tahoma"/>
        </w:rPr>
        <w:t>Η</w:t>
      </w:r>
      <w:r w:rsidRPr="00D67742">
        <w:rPr>
          <w:rFonts w:ascii="Tahoma" w:hAnsi="Tahoma" w:cs="Tahoma"/>
        </w:rPr>
        <w:t xml:space="preserve"> </w:t>
      </w:r>
      <w:r w:rsidRPr="00A14184">
        <w:rPr>
          <w:rFonts w:ascii="Tahoma" w:hAnsi="Tahoma" w:cs="Tahoma"/>
        </w:rPr>
        <w:t>αρχή</w:t>
      </w:r>
      <w:r w:rsidRPr="00D67742">
        <w:rPr>
          <w:rFonts w:ascii="Tahoma" w:hAnsi="Tahoma" w:cs="Tahoma"/>
        </w:rPr>
        <w:t xml:space="preserve"> </w:t>
      </w:r>
      <w:r w:rsidRPr="00A14184">
        <w:rPr>
          <w:rFonts w:ascii="Tahoma" w:hAnsi="Tahoma" w:cs="Tahoma"/>
        </w:rPr>
        <w:t>της</w:t>
      </w:r>
      <w:r w:rsidRPr="00D67742">
        <w:rPr>
          <w:rFonts w:ascii="Tahoma" w:hAnsi="Tahoma" w:cs="Tahoma"/>
        </w:rPr>
        <w:t xml:space="preserve"> </w:t>
      </w:r>
      <w:r w:rsidRPr="00A14184">
        <w:rPr>
          <w:rFonts w:ascii="Tahoma" w:hAnsi="Tahoma" w:cs="Tahoma"/>
        </w:rPr>
        <w:t>προφύλαξης</w:t>
      </w:r>
      <w:r w:rsidRPr="00D67742">
        <w:rPr>
          <w:rFonts w:ascii="Tahoma" w:hAnsi="Tahoma" w:cs="Tahoma"/>
        </w:rPr>
        <w:t xml:space="preserve"> </w:t>
      </w:r>
      <w:r w:rsidRPr="00A14184">
        <w:rPr>
          <w:rFonts w:ascii="Tahoma" w:hAnsi="Tahoma" w:cs="Tahoma"/>
        </w:rPr>
        <w:t>στο</w:t>
      </w:r>
      <w:r w:rsidRPr="00D67742">
        <w:rPr>
          <w:rFonts w:ascii="Tahoma" w:hAnsi="Tahoma" w:cs="Tahoma"/>
        </w:rPr>
        <w:t xml:space="preserve"> </w:t>
      </w:r>
      <w:r w:rsidRPr="00A14184">
        <w:rPr>
          <w:rFonts w:ascii="Tahoma" w:hAnsi="Tahoma" w:cs="Tahoma"/>
        </w:rPr>
        <w:t>διεθνές</w:t>
      </w:r>
      <w:r w:rsidRPr="00D67742">
        <w:rPr>
          <w:rFonts w:ascii="Tahoma" w:hAnsi="Tahoma" w:cs="Tahoma"/>
        </w:rPr>
        <w:t xml:space="preserve">, </w:t>
      </w:r>
      <w:r w:rsidRPr="00A14184">
        <w:rPr>
          <w:rFonts w:ascii="Tahoma" w:hAnsi="Tahoma" w:cs="Tahoma"/>
        </w:rPr>
        <w:t>κοινοτικό</w:t>
      </w:r>
      <w:r w:rsidRPr="00D67742">
        <w:rPr>
          <w:rFonts w:ascii="Tahoma" w:hAnsi="Tahoma" w:cs="Tahoma"/>
        </w:rPr>
        <w:t xml:space="preserve"> </w:t>
      </w:r>
      <w:r w:rsidRPr="00A14184">
        <w:rPr>
          <w:rFonts w:ascii="Tahoma" w:hAnsi="Tahoma" w:cs="Tahoma"/>
        </w:rPr>
        <w:t>και</w:t>
      </w:r>
      <w:r w:rsidRPr="00D67742">
        <w:rPr>
          <w:rFonts w:ascii="Tahoma" w:hAnsi="Tahoma" w:cs="Tahoma"/>
        </w:rPr>
        <w:t xml:space="preserve"> </w:t>
      </w:r>
      <w:r w:rsidRPr="00A14184">
        <w:rPr>
          <w:rFonts w:ascii="Tahoma" w:hAnsi="Tahoma" w:cs="Tahoma"/>
        </w:rPr>
        <w:t>συγκριτικό</w:t>
      </w:r>
      <w:r w:rsidRPr="00D67742">
        <w:rPr>
          <w:rFonts w:ascii="Tahoma" w:hAnsi="Tahoma" w:cs="Tahoma"/>
        </w:rPr>
        <w:t xml:space="preserve"> </w:t>
      </w:r>
      <w:r w:rsidRPr="00A14184">
        <w:rPr>
          <w:rFonts w:ascii="Tahoma" w:hAnsi="Tahoma" w:cs="Tahoma"/>
        </w:rPr>
        <w:t>δίκαιο</w:t>
      </w:r>
      <w:r w:rsidRPr="00D67742">
        <w:rPr>
          <w:rFonts w:ascii="Tahoma" w:hAnsi="Tahoma" w:cs="Tahoma"/>
        </w:rPr>
        <w:t xml:space="preserve">, </w:t>
      </w:r>
      <w:r w:rsidRPr="00A14184">
        <w:rPr>
          <w:rFonts w:ascii="Tahoma" w:hAnsi="Tahoma" w:cs="Tahoma"/>
        </w:rPr>
        <w:t>ό</w:t>
      </w:r>
      <w:r w:rsidRPr="00D67742">
        <w:rPr>
          <w:rFonts w:ascii="Tahoma" w:hAnsi="Tahoma" w:cs="Tahoma"/>
        </w:rPr>
        <w:t>.</w:t>
      </w:r>
      <w:r w:rsidRPr="00A14184">
        <w:rPr>
          <w:rFonts w:ascii="Tahoma" w:hAnsi="Tahoma" w:cs="Tahoma"/>
        </w:rPr>
        <w:t>π</w:t>
      </w:r>
      <w:r w:rsidRPr="00D67742">
        <w:rPr>
          <w:rFonts w:ascii="Tahoma" w:hAnsi="Tahoma" w:cs="Tahoma"/>
        </w:rPr>
        <w:t xml:space="preserve">., </w:t>
      </w:r>
      <w:r w:rsidRPr="00A14184">
        <w:rPr>
          <w:rFonts w:ascii="Tahoma" w:hAnsi="Tahoma" w:cs="Tahoma"/>
        </w:rPr>
        <w:t>σ</w:t>
      </w:r>
      <w:r w:rsidRPr="00D67742">
        <w:rPr>
          <w:rFonts w:ascii="Tahoma" w:hAnsi="Tahoma" w:cs="Tahoma"/>
        </w:rPr>
        <w:t xml:space="preserve">. 159 </w:t>
      </w:r>
      <w:r w:rsidRPr="00A14184">
        <w:rPr>
          <w:rFonts w:ascii="Tahoma" w:hAnsi="Tahoma" w:cs="Tahoma"/>
        </w:rPr>
        <w:t>επ</w:t>
      </w:r>
      <w:r w:rsidRPr="00D67742">
        <w:rPr>
          <w:rFonts w:ascii="Tahoma" w:hAnsi="Tahoma" w:cs="Tahoma"/>
        </w:rPr>
        <w:t xml:space="preserve">. </w:t>
      </w:r>
      <w:r w:rsidRPr="00956EAC">
        <w:rPr>
          <w:rFonts w:ascii="Tahoma" w:hAnsi="Tahoma" w:cs="Tahoma"/>
          <w:i/>
          <w:lang w:val="en-US"/>
        </w:rPr>
        <w:t>N</w:t>
      </w:r>
      <w:r w:rsidRPr="00956EAC">
        <w:rPr>
          <w:rFonts w:ascii="Tahoma" w:hAnsi="Tahoma" w:cs="Tahoma"/>
          <w:i/>
          <w:lang w:val="en-GB"/>
        </w:rPr>
        <w:t xml:space="preserve">. </w:t>
      </w:r>
      <w:r w:rsidRPr="00956EAC">
        <w:rPr>
          <w:rFonts w:ascii="Tahoma" w:hAnsi="Tahoma" w:cs="Tahoma"/>
          <w:i/>
          <w:lang w:val="en-US"/>
        </w:rPr>
        <w:t>de</w:t>
      </w:r>
      <w:r w:rsidRPr="00956EAC">
        <w:rPr>
          <w:rFonts w:ascii="Tahoma" w:hAnsi="Tahoma" w:cs="Tahoma"/>
          <w:i/>
          <w:lang w:val="en-GB"/>
        </w:rPr>
        <w:t xml:space="preserve"> </w:t>
      </w:r>
      <w:r w:rsidRPr="00956EAC">
        <w:rPr>
          <w:rFonts w:ascii="Tahoma" w:hAnsi="Tahoma" w:cs="Tahoma"/>
          <w:i/>
          <w:lang w:val="en-US"/>
        </w:rPr>
        <w:t>Sadeleer</w:t>
      </w:r>
      <w:r w:rsidRPr="007210C7">
        <w:rPr>
          <w:rFonts w:ascii="Tahoma" w:hAnsi="Tahoma" w:cs="Tahoma"/>
          <w:lang w:val="en-GB"/>
        </w:rPr>
        <w:t xml:space="preserve">, </w:t>
      </w:r>
      <w:r w:rsidRPr="00A14184">
        <w:rPr>
          <w:rFonts w:ascii="Tahoma" w:hAnsi="Tahoma" w:cs="Tahoma"/>
          <w:lang w:val="en-US"/>
        </w:rPr>
        <w:t>Environmental</w:t>
      </w:r>
      <w:r w:rsidRPr="007210C7">
        <w:rPr>
          <w:rFonts w:ascii="Tahoma" w:hAnsi="Tahoma" w:cs="Tahoma"/>
          <w:lang w:val="en-GB"/>
        </w:rPr>
        <w:t xml:space="preserve"> </w:t>
      </w:r>
      <w:r w:rsidRPr="00A14184">
        <w:rPr>
          <w:rFonts w:ascii="Tahoma" w:hAnsi="Tahoma" w:cs="Tahoma"/>
          <w:lang w:val="en-US"/>
        </w:rPr>
        <w:t>Principles</w:t>
      </w:r>
      <w:r w:rsidRPr="007210C7">
        <w:rPr>
          <w:rFonts w:ascii="Tahoma" w:hAnsi="Tahoma" w:cs="Tahoma"/>
          <w:lang w:val="en-GB"/>
        </w:rPr>
        <w:t xml:space="preserve">, </w:t>
      </w:r>
      <w:smartTag w:uri="urn:schemas-microsoft-com:office:smarttags" w:element="City">
        <w:smartTag w:uri="urn:schemas-microsoft-com:office:smarttags" w:element="place">
          <w:r w:rsidRPr="00A14184">
            <w:rPr>
              <w:rFonts w:ascii="Tahoma" w:hAnsi="Tahoma" w:cs="Tahoma"/>
              <w:lang w:val="en-US"/>
            </w:rPr>
            <w:t>Oxford</w:t>
          </w:r>
        </w:smartTag>
      </w:smartTag>
      <w:r w:rsidRPr="007210C7">
        <w:rPr>
          <w:rFonts w:ascii="Tahoma" w:hAnsi="Tahoma" w:cs="Tahoma"/>
          <w:lang w:val="en-GB"/>
        </w:rPr>
        <w:t xml:space="preserve">, </w:t>
      </w:r>
      <w:r w:rsidRPr="00A14184">
        <w:rPr>
          <w:rFonts w:ascii="Tahoma" w:hAnsi="Tahoma" w:cs="Tahoma"/>
          <w:lang w:val="en-US"/>
        </w:rPr>
        <w:t>Oxford</w:t>
      </w:r>
      <w:r w:rsidRPr="007210C7">
        <w:rPr>
          <w:rFonts w:ascii="Tahoma" w:hAnsi="Tahoma" w:cs="Tahoma"/>
          <w:lang w:val="en-GB"/>
        </w:rPr>
        <w:t xml:space="preserve"> </w:t>
      </w:r>
      <w:r w:rsidRPr="00A14184">
        <w:rPr>
          <w:rFonts w:ascii="Tahoma" w:hAnsi="Tahoma" w:cs="Tahoma"/>
          <w:lang w:val="en-US"/>
        </w:rPr>
        <w:t>University</w:t>
      </w:r>
      <w:r w:rsidRPr="007210C7">
        <w:rPr>
          <w:rFonts w:ascii="Tahoma" w:hAnsi="Tahoma" w:cs="Tahoma"/>
          <w:lang w:val="en-GB"/>
        </w:rPr>
        <w:t xml:space="preserve"> </w:t>
      </w:r>
      <w:r w:rsidRPr="00A14184">
        <w:rPr>
          <w:rFonts w:ascii="Tahoma" w:hAnsi="Tahoma" w:cs="Tahoma"/>
          <w:lang w:val="en-US"/>
        </w:rPr>
        <w:t>Press</w:t>
      </w:r>
      <w:r w:rsidRPr="007210C7">
        <w:rPr>
          <w:rFonts w:ascii="Tahoma" w:hAnsi="Tahoma" w:cs="Tahoma"/>
          <w:lang w:val="en-GB"/>
        </w:rPr>
        <w:t xml:space="preserve">, 2002, </w:t>
      </w:r>
      <w:r w:rsidRPr="00A14184">
        <w:rPr>
          <w:rFonts w:ascii="Tahoma" w:hAnsi="Tahoma" w:cs="Tahoma"/>
        </w:rPr>
        <w:t>σ</w:t>
      </w:r>
      <w:r w:rsidRPr="007210C7">
        <w:rPr>
          <w:rFonts w:ascii="Tahoma" w:hAnsi="Tahoma" w:cs="Tahoma"/>
          <w:lang w:val="en-GB"/>
        </w:rPr>
        <w:t xml:space="preserve">. 94 </w:t>
      </w:r>
      <w:r w:rsidRPr="00A14184">
        <w:rPr>
          <w:rFonts w:ascii="Tahoma" w:hAnsi="Tahoma" w:cs="Tahoma"/>
        </w:rPr>
        <w:t>επ</w:t>
      </w:r>
      <w:r w:rsidRPr="007210C7">
        <w:rPr>
          <w:rFonts w:ascii="Tahoma" w:hAnsi="Tahoma" w:cs="Tahoma"/>
          <w:lang w:val="en-GB"/>
        </w:rPr>
        <w:t>.</w:t>
      </w:r>
    </w:p>
  </w:footnote>
  <w:footnote w:id="45">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rPr>
        <w:t xml:space="preserve"> Για μια αναλυτική παρουσίαση, βλ., </w:t>
      </w:r>
      <w:r w:rsidRPr="00956EAC">
        <w:rPr>
          <w:rFonts w:ascii="Tahoma" w:hAnsi="Tahoma" w:cs="Tahoma"/>
          <w:i/>
        </w:rPr>
        <w:t>Γ Μπάλια</w:t>
      </w:r>
      <w:r w:rsidRPr="00A14184">
        <w:rPr>
          <w:rFonts w:ascii="Tahoma" w:hAnsi="Tahoma" w:cs="Tahoma"/>
        </w:rPr>
        <w:t xml:space="preserve">, Η αρχή της προφύλαξης στο διεθνές, κοινοτικό και συγκριτικό δίκαιο, ό.π., σ. 465 επ. </w:t>
      </w:r>
      <w:r w:rsidRPr="00D67742">
        <w:rPr>
          <w:rFonts w:ascii="Tahoma" w:hAnsi="Tahoma" w:cs="Tahoma"/>
          <w:i/>
          <w:lang w:val="en-US"/>
        </w:rPr>
        <w:t>N. de Sadeleer</w:t>
      </w:r>
      <w:r w:rsidRPr="00D67742">
        <w:rPr>
          <w:rFonts w:ascii="Tahoma" w:hAnsi="Tahoma" w:cs="Tahoma"/>
          <w:lang w:val="en-US"/>
        </w:rPr>
        <w:t xml:space="preserve">, Environmental Principles, </w:t>
      </w:r>
      <w:r w:rsidRPr="00A14184">
        <w:rPr>
          <w:rFonts w:ascii="Tahoma" w:hAnsi="Tahoma" w:cs="Tahoma"/>
        </w:rPr>
        <w:t>ό</w:t>
      </w:r>
      <w:r w:rsidRPr="00D67742">
        <w:rPr>
          <w:rFonts w:ascii="Tahoma" w:hAnsi="Tahoma" w:cs="Tahoma"/>
          <w:lang w:val="en-US"/>
        </w:rPr>
        <w:t>.</w:t>
      </w:r>
      <w:r w:rsidRPr="00A14184">
        <w:rPr>
          <w:rFonts w:ascii="Tahoma" w:hAnsi="Tahoma" w:cs="Tahoma"/>
        </w:rPr>
        <w:t>π</w:t>
      </w:r>
      <w:r w:rsidRPr="00D67742">
        <w:rPr>
          <w:rFonts w:ascii="Tahoma" w:hAnsi="Tahoma" w:cs="Tahoma"/>
          <w:lang w:val="en-US"/>
        </w:rPr>
        <w:t xml:space="preserve">., </w:t>
      </w:r>
      <w:r w:rsidRPr="00A14184">
        <w:rPr>
          <w:rFonts w:ascii="Tahoma" w:hAnsi="Tahoma" w:cs="Tahoma"/>
        </w:rPr>
        <w:t>σ</w:t>
      </w:r>
      <w:r w:rsidRPr="00D67742">
        <w:rPr>
          <w:rFonts w:ascii="Tahoma" w:hAnsi="Tahoma" w:cs="Tahoma"/>
          <w:lang w:val="en-US"/>
        </w:rPr>
        <w:t xml:space="preserve">. 94 </w:t>
      </w:r>
      <w:r w:rsidRPr="00A14184">
        <w:rPr>
          <w:rFonts w:ascii="Tahoma" w:hAnsi="Tahoma" w:cs="Tahoma"/>
        </w:rPr>
        <w:t>επ</w:t>
      </w:r>
      <w:r w:rsidRPr="00D67742">
        <w:rPr>
          <w:rFonts w:ascii="Tahoma" w:hAnsi="Tahoma" w:cs="Tahoma"/>
          <w:lang w:val="en-US"/>
        </w:rPr>
        <w:t xml:space="preserve">. </w:t>
      </w:r>
      <w:r w:rsidRPr="00956EAC">
        <w:rPr>
          <w:rFonts w:ascii="Tahoma" w:hAnsi="Tahoma" w:cs="Tahoma"/>
          <w:i/>
          <w:lang w:val="en-GB"/>
        </w:rPr>
        <w:t>A. Trouwborst</w:t>
      </w:r>
      <w:r w:rsidRPr="00A14184">
        <w:rPr>
          <w:rFonts w:ascii="Tahoma" w:hAnsi="Tahoma" w:cs="Tahoma"/>
          <w:lang w:val="en-GB"/>
        </w:rPr>
        <w:t>, Evolution and Status of the Precautionaty Principle in International Law, The Hague/London/</w:t>
      </w:r>
      <w:smartTag w:uri="urn:schemas-microsoft-com:office:smarttags" w:element="State">
        <w:smartTag w:uri="urn:schemas-microsoft-com:office:smarttags" w:element="place">
          <w:r w:rsidRPr="00A14184">
            <w:rPr>
              <w:rFonts w:ascii="Tahoma" w:hAnsi="Tahoma" w:cs="Tahoma"/>
              <w:lang w:val="en-GB"/>
            </w:rPr>
            <w:t>New York</w:t>
          </w:r>
        </w:smartTag>
      </w:smartTag>
      <w:r w:rsidRPr="00A14184">
        <w:rPr>
          <w:rFonts w:ascii="Tahoma" w:hAnsi="Tahoma" w:cs="Tahoma"/>
          <w:lang w:val="en-GB"/>
        </w:rPr>
        <w:t xml:space="preserve">, Kluwer Law International, 2002, </w:t>
      </w:r>
      <w:r w:rsidRPr="00A14184">
        <w:rPr>
          <w:rFonts w:ascii="Tahoma" w:hAnsi="Tahoma" w:cs="Tahoma"/>
          <w:lang w:val="fr-FR"/>
        </w:rPr>
        <w:t>σ</w:t>
      </w:r>
      <w:r w:rsidRPr="00A14184">
        <w:rPr>
          <w:rFonts w:ascii="Tahoma" w:hAnsi="Tahoma" w:cs="Tahoma"/>
          <w:lang w:val="en-GB"/>
        </w:rPr>
        <w:t xml:space="preserve">. 260 </w:t>
      </w:r>
      <w:r w:rsidRPr="00A14184">
        <w:rPr>
          <w:rFonts w:ascii="Tahoma" w:hAnsi="Tahoma" w:cs="Tahoma"/>
        </w:rPr>
        <w:t>επ</w:t>
      </w:r>
      <w:r w:rsidRPr="00A14184">
        <w:rPr>
          <w:rFonts w:ascii="Tahoma" w:hAnsi="Tahoma" w:cs="Tahoma"/>
          <w:lang w:val="en-GB"/>
        </w:rPr>
        <w:t>.</w:t>
      </w:r>
    </w:p>
  </w:footnote>
  <w:footnote w:id="46">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A14184">
        <w:rPr>
          <w:rFonts w:ascii="Tahoma" w:hAnsi="Tahoma" w:cs="Tahoma"/>
          <w:lang w:val="en-US"/>
        </w:rPr>
        <w:t xml:space="preserve">ICJ, Judgment in the case concerning the Gabcikovo-Nagymaros Dam, (Hungary/Slovakia), </w:t>
      </w:r>
      <w:smartTag w:uri="urn:schemas-microsoft-com:office:smarttags" w:element="date">
        <w:smartTagPr>
          <w:attr w:name="Month" w:val="9"/>
          <w:attr w:name="Day" w:val="25"/>
          <w:attr w:name="Year" w:val="1997"/>
        </w:smartTagPr>
        <w:r w:rsidRPr="00A14184">
          <w:rPr>
            <w:rFonts w:ascii="Tahoma" w:hAnsi="Tahoma" w:cs="Tahoma"/>
            <w:lang w:val="en-US"/>
          </w:rPr>
          <w:t>25-9-1997</w:t>
        </w:r>
      </w:smartTag>
      <w:r w:rsidRPr="00A14184">
        <w:rPr>
          <w:rFonts w:ascii="Tahoma" w:hAnsi="Tahoma" w:cs="Tahoma"/>
          <w:lang w:val="en-US"/>
        </w:rPr>
        <w:t xml:space="preserve">, ICJ Reports, 1997, σ. </w:t>
      </w:r>
      <w:r w:rsidRPr="00A14184">
        <w:rPr>
          <w:rFonts w:ascii="Tahoma" w:hAnsi="Tahoma" w:cs="Tahoma"/>
          <w:lang w:val="en-GB"/>
        </w:rPr>
        <w:t xml:space="preserve">7. </w:t>
      </w:r>
      <w:r w:rsidRPr="00A14184">
        <w:rPr>
          <w:rFonts w:ascii="Tahoma" w:hAnsi="Tahoma" w:cs="Tahoma"/>
        </w:rPr>
        <w:t>παρ</w:t>
      </w:r>
      <w:r w:rsidRPr="00A14184">
        <w:rPr>
          <w:rFonts w:ascii="Tahoma" w:hAnsi="Tahoma" w:cs="Tahoma"/>
          <w:lang w:val="en-GB"/>
        </w:rPr>
        <w:t>. 111-114.</w:t>
      </w:r>
    </w:p>
  </w:footnote>
  <w:footnote w:id="47">
    <w:p w:rsidR="00D67742" w:rsidRPr="00D67742" w:rsidRDefault="00D67742" w:rsidP="00D67742">
      <w:pPr>
        <w:pStyle w:val="FootnoteText"/>
        <w:rPr>
          <w:rFonts w:ascii="Tahoma" w:hAnsi="Tahoma" w:cs="Tahoma"/>
          <w:lang w:val="fr-FR"/>
        </w:rPr>
      </w:pPr>
      <w:r w:rsidRPr="00A14184">
        <w:rPr>
          <w:rStyle w:val="FootnoteReference"/>
          <w:rFonts w:ascii="Tahoma" w:hAnsi="Tahoma" w:cs="Tahoma"/>
        </w:rPr>
        <w:footnoteRef/>
      </w:r>
      <w:r w:rsidRPr="00D67742">
        <w:rPr>
          <w:rFonts w:ascii="Tahoma" w:hAnsi="Tahoma" w:cs="Tahoma"/>
          <w:lang w:val="fr-FR"/>
        </w:rPr>
        <w:t xml:space="preserve"> </w:t>
      </w:r>
      <w:r w:rsidRPr="00A14184">
        <w:rPr>
          <w:rFonts w:ascii="Tahoma" w:hAnsi="Tahoma" w:cs="Tahoma"/>
        </w:rPr>
        <w:t>Παρ</w:t>
      </w:r>
      <w:r w:rsidRPr="00D67742">
        <w:rPr>
          <w:rFonts w:ascii="Tahoma" w:hAnsi="Tahoma" w:cs="Tahoma"/>
          <w:lang w:val="fr-FR"/>
        </w:rPr>
        <w:t xml:space="preserve">. 113 </w:t>
      </w:r>
      <w:r w:rsidRPr="00A14184">
        <w:rPr>
          <w:rFonts w:ascii="Tahoma" w:hAnsi="Tahoma" w:cs="Tahoma"/>
        </w:rPr>
        <w:t>της</w:t>
      </w:r>
      <w:r w:rsidRPr="00D67742">
        <w:rPr>
          <w:rFonts w:ascii="Tahoma" w:hAnsi="Tahoma" w:cs="Tahoma"/>
          <w:lang w:val="fr-FR"/>
        </w:rPr>
        <w:t xml:space="preserve"> </w:t>
      </w:r>
      <w:r w:rsidRPr="00A14184">
        <w:rPr>
          <w:rFonts w:ascii="Tahoma" w:hAnsi="Tahoma" w:cs="Tahoma"/>
        </w:rPr>
        <w:t>απόφασης</w:t>
      </w:r>
      <w:r w:rsidRPr="00D67742">
        <w:rPr>
          <w:rFonts w:ascii="Tahoma" w:hAnsi="Tahoma" w:cs="Tahoma"/>
          <w:lang w:val="fr-FR"/>
        </w:rPr>
        <w:t>.</w:t>
      </w:r>
    </w:p>
  </w:footnote>
  <w:footnote w:id="48">
    <w:p w:rsidR="00D67742" w:rsidRPr="00A14184" w:rsidRDefault="00D67742" w:rsidP="00D67742">
      <w:pPr>
        <w:pStyle w:val="FootnoteText"/>
        <w:jc w:val="both"/>
        <w:rPr>
          <w:rFonts w:ascii="Tahoma" w:hAnsi="Tahoma" w:cs="Tahoma"/>
          <w:lang w:val="fr-FR"/>
        </w:rPr>
      </w:pPr>
      <w:r w:rsidRPr="00A14184">
        <w:rPr>
          <w:rStyle w:val="FootnoteReference"/>
          <w:rFonts w:ascii="Tahoma" w:hAnsi="Tahoma" w:cs="Tahoma"/>
        </w:rPr>
        <w:footnoteRef/>
      </w:r>
      <w:r w:rsidRPr="00A14184">
        <w:rPr>
          <w:rFonts w:ascii="Tahoma" w:hAnsi="Tahoma" w:cs="Tahoma"/>
          <w:lang w:val="fr-FR"/>
        </w:rPr>
        <w:t xml:space="preserve"> </w:t>
      </w:r>
      <w:r w:rsidRPr="00956EAC">
        <w:rPr>
          <w:rFonts w:ascii="Tahoma" w:hAnsi="Tahoma" w:cs="Tahoma"/>
          <w:i/>
          <w:lang w:val="fr-FR"/>
        </w:rPr>
        <w:t>Ibid</w:t>
      </w:r>
      <w:r w:rsidRPr="00A14184">
        <w:rPr>
          <w:rFonts w:ascii="Tahoma" w:hAnsi="Tahoma" w:cs="Tahoma"/>
          <w:lang w:val="fr-FR"/>
        </w:rPr>
        <w:t>.</w:t>
      </w:r>
    </w:p>
  </w:footnote>
  <w:footnote w:id="49">
    <w:p w:rsidR="00D67742" w:rsidRPr="00047B75" w:rsidRDefault="00D67742" w:rsidP="00D67742">
      <w:pPr>
        <w:pStyle w:val="FootnoteText"/>
        <w:jc w:val="both"/>
        <w:rPr>
          <w:rFonts w:ascii="Tahoma" w:hAnsi="Tahoma" w:cs="Tahoma"/>
          <w:lang w:val="fr-FR"/>
        </w:rPr>
      </w:pPr>
      <w:r w:rsidRPr="00A14184">
        <w:rPr>
          <w:rStyle w:val="FootnoteReference"/>
          <w:rFonts w:ascii="Tahoma" w:hAnsi="Tahoma" w:cs="Tahoma"/>
        </w:rPr>
        <w:footnoteRef/>
      </w:r>
      <w:r w:rsidRPr="00A14184">
        <w:rPr>
          <w:rFonts w:ascii="Tahoma" w:hAnsi="Tahoma" w:cs="Tahoma"/>
          <w:lang w:val="fr-FR"/>
        </w:rPr>
        <w:t xml:space="preserve"> </w:t>
      </w:r>
      <w:r w:rsidRPr="00956EAC">
        <w:rPr>
          <w:rFonts w:ascii="Tahoma" w:hAnsi="Tahoma" w:cs="Tahoma"/>
          <w:bCs/>
          <w:i/>
          <w:lang w:val="fr-FR"/>
        </w:rPr>
        <w:t>L. Boisson de Chazournes</w:t>
      </w:r>
      <w:r>
        <w:rPr>
          <w:rFonts w:ascii="Tahoma" w:hAnsi="Tahoma" w:cs="Tahoma"/>
          <w:lang w:val="fr-FR"/>
        </w:rPr>
        <w:t xml:space="preserve">, </w:t>
      </w:r>
      <w:r w:rsidRPr="006B1842">
        <w:rPr>
          <w:rFonts w:ascii="Tahoma" w:hAnsi="Tahoma" w:cs="Tahoma"/>
          <w:lang w:val="fr-FR"/>
        </w:rPr>
        <w:t>‘‘</w:t>
      </w:r>
      <w:r w:rsidRPr="00A14184">
        <w:rPr>
          <w:rFonts w:ascii="Tahoma" w:hAnsi="Tahoma" w:cs="Tahoma"/>
          <w:lang w:val="fr-FR"/>
        </w:rPr>
        <w:t>Le principe de précautio</w:t>
      </w:r>
      <w:r>
        <w:rPr>
          <w:rFonts w:ascii="Tahoma" w:hAnsi="Tahoma" w:cs="Tahoma"/>
          <w:lang w:val="fr-FR"/>
        </w:rPr>
        <w:t>n : nature, contenu et limites</w:t>
      </w:r>
      <w:r w:rsidRPr="006B1842">
        <w:rPr>
          <w:rFonts w:ascii="Tahoma" w:hAnsi="Tahoma" w:cs="Tahoma"/>
          <w:lang w:val="fr-FR"/>
        </w:rPr>
        <w:t>’’</w:t>
      </w:r>
      <w:r w:rsidRPr="00A14184">
        <w:rPr>
          <w:rFonts w:ascii="Tahoma" w:hAnsi="Tahoma" w:cs="Tahoma"/>
          <w:lang w:val="fr-FR"/>
        </w:rPr>
        <w:t xml:space="preserve">, in : Le principe de précaution. Aspects de droit international et communautaire, </w:t>
      </w:r>
      <w:r w:rsidRPr="00A14184">
        <w:rPr>
          <w:rFonts w:ascii="Tahoma" w:hAnsi="Tahoma" w:cs="Tahoma"/>
        </w:rPr>
        <w:t>ό</w:t>
      </w:r>
      <w:r w:rsidRPr="00A14184">
        <w:rPr>
          <w:rFonts w:ascii="Tahoma" w:hAnsi="Tahoma" w:cs="Tahoma"/>
          <w:lang w:val="fr-FR"/>
        </w:rPr>
        <w:t>.</w:t>
      </w:r>
      <w:r w:rsidRPr="00A14184">
        <w:rPr>
          <w:rFonts w:ascii="Tahoma" w:hAnsi="Tahoma" w:cs="Tahoma"/>
        </w:rPr>
        <w:t>π</w:t>
      </w:r>
      <w:r w:rsidRPr="00A14184">
        <w:rPr>
          <w:rFonts w:ascii="Tahoma" w:hAnsi="Tahoma" w:cs="Tahoma"/>
          <w:lang w:val="fr-FR"/>
        </w:rPr>
        <w:t xml:space="preserve">., </w:t>
      </w:r>
      <w:r w:rsidRPr="00A14184">
        <w:rPr>
          <w:rFonts w:ascii="Tahoma" w:hAnsi="Tahoma" w:cs="Tahoma"/>
        </w:rPr>
        <w:t>σ</w:t>
      </w:r>
      <w:r w:rsidRPr="00A14184">
        <w:rPr>
          <w:rFonts w:ascii="Tahoma" w:hAnsi="Tahoma" w:cs="Tahoma"/>
          <w:lang w:val="fr-FR"/>
        </w:rPr>
        <w:t>. 86.</w:t>
      </w:r>
      <w:r w:rsidRPr="00A14184">
        <w:rPr>
          <w:rFonts w:ascii="Tahoma" w:hAnsi="Tahoma" w:cs="Tahoma"/>
          <w:bCs/>
          <w:lang w:val="fr-FR"/>
        </w:rPr>
        <w:t xml:space="preserve"> </w:t>
      </w:r>
      <w:r w:rsidRPr="00956EAC">
        <w:rPr>
          <w:rFonts w:ascii="Tahoma" w:hAnsi="Tahoma" w:cs="Tahoma"/>
          <w:bCs/>
          <w:i/>
          <w:lang w:val="fr-FR"/>
        </w:rPr>
        <w:t>P.-M. Dupuy</w:t>
      </w:r>
      <w:r>
        <w:rPr>
          <w:rFonts w:ascii="Tahoma" w:hAnsi="Tahoma" w:cs="Tahoma"/>
          <w:lang w:val="fr-FR"/>
        </w:rPr>
        <w:t xml:space="preserve">, </w:t>
      </w:r>
      <w:r w:rsidRPr="006B1842">
        <w:rPr>
          <w:rFonts w:ascii="Tahoma" w:hAnsi="Tahoma" w:cs="Tahoma"/>
          <w:lang w:val="fr-FR"/>
        </w:rPr>
        <w:t>‘‘</w:t>
      </w:r>
      <w:r w:rsidRPr="00A14184">
        <w:rPr>
          <w:rFonts w:ascii="Tahoma" w:hAnsi="Tahoma" w:cs="Tahoma"/>
          <w:lang w:val="fr-FR"/>
        </w:rPr>
        <w:t xml:space="preserve">Le principe de précaution, règle émergente </w:t>
      </w:r>
      <w:r>
        <w:rPr>
          <w:rFonts w:ascii="Tahoma" w:hAnsi="Tahoma" w:cs="Tahoma"/>
          <w:lang w:val="fr-FR"/>
        </w:rPr>
        <w:t>du droit international général</w:t>
      </w:r>
      <w:r w:rsidRPr="006B1842">
        <w:rPr>
          <w:rFonts w:ascii="Tahoma" w:hAnsi="Tahoma" w:cs="Tahoma"/>
          <w:lang w:val="fr-FR"/>
        </w:rPr>
        <w:t>’’</w:t>
      </w:r>
      <w:r w:rsidRPr="00A14184">
        <w:rPr>
          <w:rFonts w:ascii="Tahoma" w:hAnsi="Tahoma" w:cs="Tahoma"/>
          <w:lang w:val="fr-FR"/>
        </w:rPr>
        <w:t xml:space="preserve">, in : Le principe de précaution. </w:t>
      </w:r>
      <w:r w:rsidRPr="00047B75">
        <w:rPr>
          <w:rFonts w:ascii="Tahoma" w:hAnsi="Tahoma" w:cs="Tahoma"/>
          <w:lang w:val="fr-FR"/>
        </w:rPr>
        <w:t xml:space="preserve">Aspects de droit international et communautaire, </w:t>
      </w:r>
      <w:r w:rsidRPr="00A14184">
        <w:rPr>
          <w:rFonts w:ascii="Tahoma" w:hAnsi="Tahoma" w:cs="Tahoma"/>
        </w:rPr>
        <w:t>ό</w:t>
      </w:r>
      <w:r w:rsidRPr="00047B75">
        <w:rPr>
          <w:rFonts w:ascii="Tahoma" w:hAnsi="Tahoma" w:cs="Tahoma"/>
          <w:lang w:val="fr-FR"/>
        </w:rPr>
        <w:t>.</w:t>
      </w:r>
      <w:r w:rsidRPr="00A14184">
        <w:rPr>
          <w:rFonts w:ascii="Tahoma" w:hAnsi="Tahoma" w:cs="Tahoma"/>
        </w:rPr>
        <w:t>π</w:t>
      </w:r>
      <w:r w:rsidRPr="00047B75">
        <w:rPr>
          <w:rFonts w:ascii="Tahoma" w:hAnsi="Tahoma" w:cs="Tahoma"/>
          <w:lang w:val="fr-FR"/>
        </w:rPr>
        <w:t xml:space="preserve">., </w:t>
      </w:r>
      <w:r w:rsidRPr="00A14184">
        <w:rPr>
          <w:rFonts w:ascii="Tahoma" w:hAnsi="Tahoma" w:cs="Tahoma"/>
        </w:rPr>
        <w:t>σ</w:t>
      </w:r>
      <w:r w:rsidRPr="00047B75">
        <w:rPr>
          <w:rFonts w:ascii="Tahoma" w:hAnsi="Tahoma" w:cs="Tahoma"/>
          <w:lang w:val="fr-FR"/>
        </w:rPr>
        <w:t>. 110-111.</w:t>
      </w:r>
    </w:p>
  </w:footnote>
  <w:footnote w:id="50">
    <w:p w:rsidR="00D67742" w:rsidRPr="006E2269" w:rsidRDefault="00D67742" w:rsidP="00D67742">
      <w:pPr>
        <w:pStyle w:val="FootnoteText"/>
        <w:jc w:val="both"/>
        <w:rPr>
          <w:rFonts w:ascii="Tahoma" w:hAnsi="Tahoma" w:cs="Tahoma"/>
          <w:lang w:val="it-IT"/>
        </w:rPr>
      </w:pPr>
      <w:r w:rsidRPr="00A14184">
        <w:rPr>
          <w:rStyle w:val="FootnoteReference"/>
          <w:rFonts w:ascii="Tahoma" w:hAnsi="Tahoma" w:cs="Tahoma"/>
        </w:rPr>
        <w:footnoteRef/>
      </w:r>
      <w:r w:rsidRPr="00047B75">
        <w:rPr>
          <w:rFonts w:ascii="Tahoma" w:hAnsi="Tahoma" w:cs="Tahoma"/>
          <w:lang w:val="fr-FR"/>
        </w:rPr>
        <w:t xml:space="preserve"> </w:t>
      </w:r>
      <w:r w:rsidRPr="00A14184">
        <w:rPr>
          <w:rFonts w:ascii="Tahoma" w:hAnsi="Tahoma" w:cs="Tahoma"/>
        </w:rPr>
        <w:t>Υπόθεση</w:t>
      </w:r>
      <w:r w:rsidRPr="00047B75">
        <w:rPr>
          <w:rFonts w:ascii="Tahoma" w:hAnsi="Tahoma" w:cs="Tahoma"/>
          <w:lang w:val="fr-FR"/>
        </w:rPr>
        <w:t xml:space="preserve"> </w:t>
      </w:r>
      <w:r w:rsidRPr="00A14184">
        <w:rPr>
          <w:rFonts w:ascii="Tahoma" w:hAnsi="Tahoma" w:cs="Tahoma"/>
          <w:lang w:val="fr-FR"/>
        </w:rPr>
        <w:t>Artegodan</w:t>
      </w:r>
      <w:r w:rsidRPr="00047B75">
        <w:rPr>
          <w:rFonts w:ascii="Tahoma" w:hAnsi="Tahoma" w:cs="Tahoma"/>
          <w:lang w:val="fr-FR"/>
        </w:rPr>
        <w:t xml:space="preserve">, </w:t>
      </w:r>
      <w:r w:rsidRPr="00A14184">
        <w:rPr>
          <w:rFonts w:ascii="Tahoma" w:hAnsi="Tahoma" w:cs="Tahoma"/>
        </w:rPr>
        <w:t>ό</w:t>
      </w:r>
      <w:r w:rsidRPr="00047B75">
        <w:rPr>
          <w:rFonts w:ascii="Tahoma" w:hAnsi="Tahoma" w:cs="Tahoma"/>
          <w:lang w:val="fr-FR"/>
        </w:rPr>
        <w:t>.</w:t>
      </w:r>
      <w:r w:rsidRPr="00A14184">
        <w:rPr>
          <w:rFonts w:ascii="Tahoma" w:hAnsi="Tahoma" w:cs="Tahoma"/>
        </w:rPr>
        <w:t>π</w:t>
      </w:r>
      <w:r w:rsidRPr="00047B75">
        <w:rPr>
          <w:rFonts w:ascii="Tahoma" w:hAnsi="Tahoma" w:cs="Tahoma"/>
          <w:lang w:val="fr-FR"/>
        </w:rPr>
        <w:t xml:space="preserve">., </w:t>
      </w:r>
      <w:r w:rsidRPr="00A14184">
        <w:rPr>
          <w:rFonts w:ascii="Tahoma" w:hAnsi="Tahoma" w:cs="Tahoma"/>
        </w:rPr>
        <w:t>παρ</w:t>
      </w:r>
      <w:r w:rsidRPr="00047B75">
        <w:rPr>
          <w:rFonts w:ascii="Tahoma" w:hAnsi="Tahoma" w:cs="Tahoma"/>
          <w:lang w:val="fr-FR"/>
        </w:rPr>
        <w:t xml:space="preserve">. 184. </w:t>
      </w:r>
      <w:r w:rsidRPr="00A14184">
        <w:rPr>
          <w:rFonts w:ascii="Tahoma" w:hAnsi="Tahoma" w:cs="Tahoma"/>
        </w:rPr>
        <w:t xml:space="preserve">Ομοίως, υπόθ.  </w:t>
      </w:r>
      <w:r w:rsidRPr="00A14184">
        <w:rPr>
          <w:rFonts w:ascii="Tahoma" w:hAnsi="Tahoma" w:cs="Tahoma"/>
          <w:iCs/>
        </w:rPr>
        <w:t xml:space="preserve">Δανία κατά Επιτροπής </w:t>
      </w:r>
      <w:r>
        <w:rPr>
          <w:rFonts w:ascii="Tahoma" w:hAnsi="Tahoma" w:cs="Tahoma"/>
        </w:rPr>
        <w:t>ό.π., παρ.</w:t>
      </w:r>
      <w:r w:rsidRPr="00A14184">
        <w:rPr>
          <w:rFonts w:ascii="Tahoma" w:hAnsi="Tahoma" w:cs="Tahoma"/>
        </w:rPr>
        <w:t xml:space="preserve"> 49-52. ΔΕΚ, απόφαση της 9</w:t>
      </w:r>
      <w:r w:rsidRPr="00A14184">
        <w:rPr>
          <w:rFonts w:ascii="Tahoma" w:hAnsi="Tahoma" w:cs="Tahoma"/>
          <w:vertAlign w:val="superscript"/>
        </w:rPr>
        <w:t>ης</w:t>
      </w:r>
      <w:r w:rsidRPr="00A14184">
        <w:rPr>
          <w:rFonts w:ascii="Tahoma" w:hAnsi="Tahoma" w:cs="Tahoma"/>
        </w:rPr>
        <w:t xml:space="preserve"> Σεπτεμβρίου 2003, υπόθ. </w:t>
      </w:r>
      <w:r w:rsidRPr="006E2269">
        <w:rPr>
          <w:rFonts w:ascii="Tahoma" w:hAnsi="Tahoma" w:cs="Tahoma"/>
          <w:lang w:val="it-IT"/>
        </w:rPr>
        <w:t xml:space="preserve">C-236/01, </w:t>
      </w:r>
      <w:r w:rsidRPr="006E2269">
        <w:rPr>
          <w:rFonts w:ascii="Tahoma" w:hAnsi="Tahoma" w:cs="Tahoma"/>
          <w:iCs/>
          <w:lang w:val="it-IT"/>
        </w:rPr>
        <w:t xml:space="preserve">Monsanto Agricoltura Italia SpA </w:t>
      </w:r>
      <w:r w:rsidRPr="00A14184">
        <w:rPr>
          <w:rFonts w:ascii="Tahoma" w:hAnsi="Tahoma" w:cs="Tahoma"/>
          <w:iCs/>
        </w:rPr>
        <w:t>και</w:t>
      </w:r>
      <w:r w:rsidRPr="006E2269">
        <w:rPr>
          <w:rFonts w:ascii="Tahoma" w:hAnsi="Tahoma" w:cs="Tahoma"/>
          <w:iCs/>
          <w:lang w:val="it-IT"/>
        </w:rPr>
        <w:t xml:space="preserve"> Presidenza del consiglio dei ministry</w:t>
      </w:r>
      <w:r w:rsidRPr="006E2269">
        <w:rPr>
          <w:rFonts w:ascii="Tahoma" w:hAnsi="Tahoma" w:cs="Tahoma"/>
          <w:lang w:val="it-IT"/>
        </w:rPr>
        <w:t xml:space="preserve">, </w:t>
      </w:r>
      <w:r w:rsidRPr="00A14184">
        <w:rPr>
          <w:rFonts w:ascii="Tahoma" w:hAnsi="Tahoma" w:cs="Tahoma"/>
        </w:rPr>
        <w:t>ό</w:t>
      </w:r>
      <w:r w:rsidRPr="006E2269">
        <w:rPr>
          <w:rFonts w:ascii="Tahoma" w:hAnsi="Tahoma" w:cs="Tahoma"/>
          <w:lang w:val="it-IT"/>
        </w:rPr>
        <w:t>.</w:t>
      </w:r>
      <w:r w:rsidRPr="00A14184">
        <w:rPr>
          <w:rFonts w:ascii="Tahoma" w:hAnsi="Tahoma" w:cs="Tahoma"/>
        </w:rPr>
        <w:t>π</w:t>
      </w:r>
      <w:r w:rsidRPr="006E2269">
        <w:rPr>
          <w:rFonts w:ascii="Tahoma" w:hAnsi="Tahoma" w:cs="Tahoma"/>
          <w:lang w:val="it-IT"/>
        </w:rPr>
        <w:t xml:space="preserve">., </w:t>
      </w:r>
      <w:r w:rsidRPr="00A14184">
        <w:rPr>
          <w:rFonts w:ascii="Tahoma" w:hAnsi="Tahoma" w:cs="Tahoma"/>
        </w:rPr>
        <w:t>παρ</w:t>
      </w:r>
      <w:r w:rsidRPr="006E2269">
        <w:rPr>
          <w:rFonts w:ascii="Tahoma" w:hAnsi="Tahoma" w:cs="Tahoma"/>
          <w:lang w:val="it-IT"/>
        </w:rPr>
        <w:t xml:space="preserve">. 110-113 </w:t>
      </w:r>
      <w:r w:rsidRPr="00A14184">
        <w:rPr>
          <w:rFonts w:ascii="Tahoma" w:hAnsi="Tahoma" w:cs="Tahoma"/>
        </w:rPr>
        <w:t>και</w:t>
      </w:r>
      <w:r w:rsidRPr="006E2269">
        <w:rPr>
          <w:rFonts w:ascii="Tahoma" w:hAnsi="Tahoma" w:cs="Tahoma"/>
          <w:lang w:val="it-IT"/>
        </w:rPr>
        <w:t xml:space="preserve"> 133.</w:t>
      </w:r>
    </w:p>
  </w:footnote>
  <w:footnote w:id="51">
    <w:p w:rsidR="00D67742" w:rsidRPr="00FF54B8" w:rsidRDefault="00D67742" w:rsidP="00D67742">
      <w:pPr>
        <w:pStyle w:val="FootnoteText"/>
        <w:jc w:val="both"/>
        <w:rPr>
          <w:rFonts w:ascii="Tahoma" w:hAnsi="Tahoma" w:cs="Tahoma"/>
          <w:lang w:val="fr-FR"/>
        </w:rPr>
      </w:pPr>
      <w:r>
        <w:rPr>
          <w:rStyle w:val="FootnoteReference"/>
        </w:rPr>
        <w:footnoteRef/>
      </w:r>
      <w:r>
        <w:t xml:space="preserve"> </w:t>
      </w:r>
      <w:r>
        <w:rPr>
          <w:rFonts w:ascii="Tahoma" w:hAnsi="Tahoma" w:cs="Tahoma"/>
        </w:rPr>
        <w:t>Π.Χ, στη Γαλλία, αν και οι θεωρητικές επεξεργασίες της αρχής της προφύλαξης είναι αρκετά εκτεταμένες, ωστόσο η εφαρμογή της από τα πολιτικά δικαστήρια είναι εξαιρετικά περιορισμένη. Βλ</w:t>
      </w:r>
      <w:r w:rsidRPr="00FF54B8">
        <w:rPr>
          <w:rFonts w:ascii="Tahoma" w:hAnsi="Tahoma" w:cs="Tahoma"/>
          <w:lang w:val="fr-FR"/>
        </w:rPr>
        <w:t xml:space="preserve">., </w:t>
      </w:r>
      <w:r>
        <w:rPr>
          <w:rFonts w:ascii="Tahoma" w:hAnsi="Tahoma" w:cs="Tahoma"/>
        </w:rPr>
        <w:t>σχετ</w:t>
      </w:r>
      <w:r w:rsidRPr="00FF54B8">
        <w:rPr>
          <w:rFonts w:ascii="Tahoma" w:hAnsi="Tahoma" w:cs="Tahoma"/>
          <w:lang w:val="fr-FR"/>
        </w:rPr>
        <w:t xml:space="preserve">., </w:t>
      </w:r>
      <w:r w:rsidRPr="00FF54B8">
        <w:rPr>
          <w:rFonts w:ascii="Tahoma" w:hAnsi="Tahoma" w:cs="Tahoma"/>
          <w:i/>
          <w:lang w:val="fr-FR"/>
        </w:rPr>
        <w:t xml:space="preserve">M. Boutonnet, </w:t>
      </w:r>
      <w:r w:rsidRPr="00FF54B8">
        <w:rPr>
          <w:rFonts w:ascii="Tahoma" w:hAnsi="Tahoma" w:cs="Tahoma"/>
          <w:lang w:val="fr-FR"/>
        </w:rPr>
        <w:t xml:space="preserve">Le principe de precaution en droit de la responsabilite civile, Paris, L.G.D.J, 2005, </w:t>
      </w:r>
      <w:r>
        <w:rPr>
          <w:rFonts w:ascii="Tahoma" w:hAnsi="Tahoma" w:cs="Tahoma"/>
        </w:rPr>
        <w:t>σ</w:t>
      </w:r>
      <w:r w:rsidRPr="00FF54B8">
        <w:rPr>
          <w:rFonts w:ascii="Tahoma" w:hAnsi="Tahoma" w:cs="Tahoma"/>
          <w:lang w:val="fr-FR"/>
        </w:rPr>
        <w:t>. 25.</w:t>
      </w:r>
    </w:p>
  </w:footnote>
  <w:footnote w:id="52">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1C74E8">
        <w:rPr>
          <w:rFonts w:ascii="Tahoma" w:hAnsi="Tahoma" w:cs="Tahoma"/>
          <w:i/>
          <w:lang w:val="en-GB"/>
        </w:rPr>
        <w:t>M. Lee</w:t>
      </w:r>
      <w:r w:rsidRPr="00A14184">
        <w:rPr>
          <w:rFonts w:ascii="Tahoma" w:hAnsi="Tahoma" w:cs="Tahoma"/>
          <w:lang w:val="en-GB"/>
        </w:rPr>
        <w:t xml:space="preserve">, </w:t>
      </w:r>
      <w:r w:rsidRPr="00A14184">
        <w:rPr>
          <w:rFonts w:ascii="Tahoma" w:hAnsi="Tahoma" w:cs="Tahoma"/>
          <w:lang w:val="en-US"/>
        </w:rPr>
        <w:t>EU Environmental Law.Challenges, Change and Decision-Making,</w:t>
      </w:r>
      <w:r w:rsidRPr="00A14184">
        <w:rPr>
          <w:rFonts w:ascii="Tahoma" w:hAnsi="Tahoma" w:cs="Tahoma"/>
          <w:lang w:val="en-GB"/>
        </w:rPr>
        <w:t xml:space="preserve">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xml:space="preserve">. 104. </w:t>
      </w:r>
    </w:p>
  </w:footnote>
  <w:footnote w:id="53">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Βλ., π.χ., τον Κανονισμό (ΕΚ) αριθ. 178/2002, ό.π., Προοίμιο, αριθ. 19.</w:t>
      </w:r>
    </w:p>
  </w:footnote>
  <w:footnote w:id="54">
    <w:p w:rsidR="00D67742" w:rsidRPr="00047B75" w:rsidRDefault="00D67742" w:rsidP="00D67742">
      <w:pPr>
        <w:pStyle w:val="FootnoteText"/>
        <w:jc w:val="both"/>
        <w:rPr>
          <w:rFonts w:ascii="Tahoma" w:hAnsi="Tahoma" w:cs="Tahoma"/>
        </w:rPr>
      </w:pPr>
      <w:r w:rsidRPr="00A14184">
        <w:rPr>
          <w:rStyle w:val="FootnoteReference"/>
          <w:rFonts w:ascii="Tahoma" w:hAnsi="Tahoma" w:cs="Tahoma"/>
        </w:rPr>
        <w:footnoteRef/>
      </w:r>
      <w:r w:rsidRPr="00047B75">
        <w:rPr>
          <w:rFonts w:ascii="Tahoma" w:hAnsi="Tahoma" w:cs="Tahoma"/>
        </w:rPr>
        <w:t xml:space="preserve"> </w:t>
      </w:r>
      <w:r w:rsidRPr="00A14184">
        <w:rPr>
          <w:rFonts w:ascii="Tahoma" w:hAnsi="Tahoma" w:cs="Tahoma"/>
        </w:rPr>
        <w:t>Βλ</w:t>
      </w:r>
      <w:r w:rsidRPr="00047B75">
        <w:rPr>
          <w:rFonts w:ascii="Tahoma" w:hAnsi="Tahoma" w:cs="Tahoma"/>
        </w:rPr>
        <w:t xml:space="preserve">., </w:t>
      </w:r>
      <w:r w:rsidRPr="00A14184">
        <w:rPr>
          <w:rFonts w:ascii="Tahoma" w:hAnsi="Tahoma" w:cs="Tahoma"/>
          <w:lang w:val="en-US"/>
        </w:rPr>
        <w:t>supra</w:t>
      </w:r>
      <w:r w:rsidRPr="00047B75">
        <w:rPr>
          <w:rFonts w:ascii="Tahoma" w:hAnsi="Tahoma" w:cs="Tahoma"/>
        </w:rPr>
        <w:t xml:space="preserve">, </w:t>
      </w:r>
      <w:r w:rsidRPr="00A14184">
        <w:rPr>
          <w:rFonts w:ascii="Tahoma" w:hAnsi="Tahoma" w:cs="Tahoma"/>
        </w:rPr>
        <w:t>Πρώτο</w:t>
      </w:r>
      <w:r w:rsidRPr="00047B75">
        <w:rPr>
          <w:rFonts w:ascii="Tahoma" w:hAnsi="Tahoma" w:cs="Tahoma"/>
        </w:rPr>
        <w:t xml:space="preserve"> </w:t>
      </w:r>
      <w:r w:rsidRPr="00A14184">
        <w:rPr>
          <w:rFonts w:ascii="Tahoma" w:hAnsi="Tahoma" w:cs="Tahoma"/>
        </w:rPr>
        <w:t>Κεφάλαιο</w:t>
      </w:r>
      <w:r w:rsidRPr="00047B75">
        <w:rPr>
          <w:rFonts w:ascii="Tahoma" w:hAnsi="Tahoma" w:cs="Tahoma"/>
        </w:rPr>
        <w:t>.</w:t>
      </w:r>
    </w:p>
  </w:footnote>
  <w:footnote w:id="55">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1C74E8">
        <w:rPr>
          <w:rFonts w:ascii="Tahoma" w:hAnsi="Tahoma" w:cs="Tahoma"/>
          <w:i/>
          <w:lang w:val="en-US"/>
        </w:rPr>
        <w:t>D. Shelton</w:t>
      </w:r>
      <w:r w:rsidRPr="00A14184">
        <w:rPr>
          <w:rFonts w:ascii="Tahoma" w:hAnsi="Tahoma" w:cs="Tahoma"/>
          <w:lang w:val="en-US"/>
        </w:rPr>
        <w:t xml:space="preserve">, “The Impact of Scientific Uncertainty on Environmental Law and Policy in the </w:t>
      </w:r>
      <w:smartTag w:uri="urn:schemas-microsoft-com:office:smarttags" w:element="country-region">
        <w:smartTag w:uri="urn:schemas-microsoft-com:office:smarttags" w:element="place">
          <w:r w:rsidRPr="00A14184">
            <w:rPr>
              <w:rFonts w:ascii="Tahoma" w:hAnsi="Tahoma" w:cs="Tahoma"/>
              <w:lang w:val="en-US"/>
            </w:rPr>
            <w:t>United States</w:t>
          </w:r>
        </w:smartTag>
      </w:smartTag>
      <w:r w:rsidRPr="00A14184">
        <w:rPr>
          <w:rFonts w:ascii="Tahoma" w:hAnsi="Tahoma" w:cs="Tahoma"/>
          <w:lang w:val="en-US"/>
        </w:rPr>
        <w:t xml:space="preserve">”, in: </w:t>
      </w:r>
      <w:r w:rsidRPr="001C74E8">
        <w:rPr>
          <w:rFonts w:ascii="Tahoma" w:hAnsi="Tahoma" w:cs="Tahoma"/>
          <w:i/>
          <w:lang w:val="en-US"/>
        </w:rPr>
        <w:t>D. Freeston, E. Hey</w:t>
      </w:r>
      <w:r w:rsidRPr="00A14184">
        <w:rPr>
          <w:rFonts w:ascii="Tahoma" w:hAnsi="Tahoma" w:cs="Tahoma"/>
          <w:lang w:val="en-US"/>
        </w:rPr>
        <w:t xml:space="preserve"> (eds), The Precautionary Principle and International Law,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w:t>
      </w:r>
      <w:r w:rsidRPr="00A14184">
        <w:rPr>
          <w:rFonts w:ascii="Tahoma" w:hAnsi="Tahoma" w:cs="Tahoma"/>
          <w:lang w:val="en-US"/>
        </w:rPr>
        <w:t xml:space="preserve">, </w:t>
      </w:r>
      <w:r w:rsidRPr="00A14184">
        <w:rPr>
          <w:rFonts w:ascii="Tahoma" w:hAnsi="Tahoma" w:cs="Tahoma"/>
        </w:rPr>
        <w:t>σ</w:t>
      </w:r>
      <w:r w:rsidRPr="00A14184">
        <w:rPr>
          <w:rFonts w:ascii="Tahoma" w:hAnsi="Tahoma" w:cs="Tahoma"/>
          <w:lang w:val="en-GB"/>
        </w:rPr>
        <w:t>. 210.</w:t>
      </w:r>
    </w:p>
  </w:footnote>
  <w:footnote w:id="56">
    <w:p w:rsidR="00D67742" w:rsidRPr="00A14184" w:rsidRDefault="00D67742" w:rsidP="00D67742">
      <w:pPr>
        <w:pStyle w:val="FootnoteText"/>
        <w:rPr>
          <w:rFonts w:ascii="Tahoma" w:hAnsi="Tahoma" w:cs="Tahoma"/>
        </w:rPr>
      </w:pPr>
      <w:r w:rsidRPr="00A14184">
        <w:rPr>
          <w:rStyle w:val="FootnoteReference"/>
          <w:rFonts w:ascii="Tahoma" w:hAnsi="Tahoma" w:cs="Tahoma"/>
        </w:rPr>
        <w:footnoteRef/>
      </w:r>
      <w:r w:rsidRPr="00A14184">
        <w:rPr>
          <w:rFonts w:ascii="Tahoma" w:hAnsi="Tahoma" w:cs="Tahoma"/>
        </w:rPr>
        <w:t xml:space="preserve"> ΔΕΚ, απόφαση της 7</w:t>
      </w:r>
      <w:r w:rsidRPr="00A14184">
        <w:rPr>
          <w:rFonts w:ascii="Tahoma" w:hAnsi="Tahoma" w:cs="Tahoma"/>
          <w:vertAlign w:val="superscript"/>
        </w:rPr>
        <w:t>ης</w:t>
      </w:r>
      <w:r w:rsidRPr="00A14184">
        <w:rPr>
          <w:rFonts w:ascii="Tahoma" w:hAnsi="Tahoma" w:cs="Tahoma"/>
        </w:rPr>
        <w:t xml:space="preserve"> Σεπτεμβρίου 2004, υπόθεση </w:t>
      </w:r>
      <w:r w:rsidRPr="00A14184">
        <w:rPr>
          <w:rFonts w:ascii="Tahoma" w:hAnsi="Tahoma" w:cs="Tahoma"/>
          <w:lang w:val="en-US"/>
        </w:rPr>
        <w:t>C</w:t>
      </w:r>
      <w:r w:rsidRPr="00A14184">
        <w:rPr>
          <w:rFonts w:ascii="Tahoma" w:hAnsi="Tahoma" w:cs="Tahoma"/>
        </w:rPr>
        <w:t xml:space="preserve">-127/02 </w:t>
      </w:r>
      <w:r w:rsidRPr="00A14184">
        <w:rPr>
          <w:rFonts w:ascii="Tahoma" w:hAnsi="Tahoma" w:cs="Tahoma"/>
          <w:lang w:val="en-US"/>
        </w:rPr>
        <w:t>Waddenzee</w:t>
      </w:r>
      <w:r w:rsidRPr="00A14184">
        <w:rPr>
          <w:rFonts w:ascii="Tahoma" w:hAnsi="Tahoma" w:cs="Tahoma"/>
        </w:rPr>
        <w:t>, παρ. 58.</w:t>
      </w:r>
    </w:p>
  </w:footnote>
  <w:footnote w:id="57">
    <w:p w:rsidR="00D67742" w:rsidRPr="0093769E" w:rsidRDefault="00D67742" w:rsidP="00D67742">
      <w:pPr>
        <w:pStyle w:val="FootnoteText"/>
        <w:jc w:val="both"/>
        <w:rPr>
          <w:rFonts w:ascii="Tahoma" w:hAnsi="Tahoma" w:cs="Tahoma"/>
          <w:lang w:val="fr-FR"/>
        </w:rPr>
      </w:pPr>
      <w:r>
        <w:rPr>
          <w:rStyle w:val="FootnoteReference"/>
        </w:rPr>
        <w:footnoteRef/>
      </w:r>
      <w:r w:rsidRPr="0093769E">
        <w:rPr>
          <w:lang w:val="fr-FR"/>
        </w:rPr>
        <w:t xml:space="preserve"> </w:t>
      </w:r>
      <w:r w:rsidRPr="009828D8">
        <w:rPr>
          <w:rFonts w:ascii="Tahoma" w:hAnsi="Tahoma" w:cs="Tahoma"/>
          <w:i/>
          <w:lang w:val="fr-FR"/>
        </w:rPr>
        <w:t>M.-A. Hermitte</w:t>
      </w:r>
      <w:r w:rsidRPr="0093769E">
        <w:rPr>
          <w:rFonts w:ascii="Tahoma" w:hAnsi="Tahoma" w:cs="Tahoma"/>
          <w:lang w:val="fr-FR"/>
        </w:rPr>
        <w:t xml:space="preserve">, “Relire l’ordre juridique a la lumiere du principe de precaution”, Recueil Dalloz, 2007, </w:t>
      </w:r>
      <w:r>
        <w:rPr>
          <w:rFonts w:ascii="Tahoma" w:hAnsi="Tahoma" w:cs="Tahoma"/>
          <w:lang w:val="en-US"/>
        </w:rPr>
        <w:t>σ</w:t>
      </w:r>
      <w:r w:rsidRPr="0093769E">
        <w:rPr>
          <w:rFonts w:ascii="Tahoma" w:hAnsi="Tahoma" w:cs="Tahoma"/>
          <w:lang w:val="fr-FR"/>
        </w:rPr>
        <w:t>. 1518.</w:t>
      </w:r>
    </w:p>
  </w:footnote>
  <w:footnote w:id="58">
    <w:p w:rsidR="00D67742" w:rsidRPr="00C21C44" w:rsidRDefault="00D67742" w:rsidP="00D67742">
      <w:pPr>
        <w:pStyle w:val="FootnoteText"/>
        <w:jc w:val="both"/>
        <w:rPr>
          <w:rFonts w:ascii="Tahoma" w:hAnsi="Tahoma" w:cs="Tahoma"/>
          <w:lang w:val="fr-FR"/>
        </w:rPr>
      </w:pPr>
      <w:r>
        <w:rPr>
          <w:rStyle w:val="FootnoteReference"/>
        </w:rPr>
        <w:footnoteRef/>
      </w:r>
      <w:r w:rsidRPr="00C21C44">
        <w:rPr>
          <w:lang w:val="fr-FR"/>
        </w:rPr>
        <w:t xml:space="preserve"> </w:t>
      </w:r>
      <w:r w:rsidRPr="00E574E3">
        <w:rPr>
          <w:rFonts w:ascii="Tahoma" w:hAnsi="Tahoma" w:cs="Tahoma"/>
          <w:i/>
          <w:lang w:val="fr-FR"/>
        </w:rPr>
        <w:t>C. Noiville</w:t>
      </w:r>
      <w:r w:rsidRPr="00C21C44">
        <w:rPr>
          <w:rFonts w:ascii="Tahoma" w:hAnsi="Tahoma" w:cs="Tahoma"/>
          <w:lang w:val="fr-FR"/>
        </w:rPr>
        <w:t xml:space="preserve">, ‘‘La lente maturation jurisprudentielle du principe de precaution’’, Recueil Dalloz, 2007, </w:t>
      </w:r>
      <w:r>
        <w:rPr>
          <w:rFonts w:ascii="Tahoma" w:hAnsi="Tahoma" w:cs="Tahoma"/>
          <w:lang w:val="en-US"/>
        </w:rPr>
        <w:t>σ</w:t>
      </w:r>
      <w:r w:rsidRPr="00C21C44">
        <w:rPr>
          <w:rFonts w:ascii="Tahoma" w:hAnsi="Tahoma" w:cs="Tahoma"/>
          <w:lang w:val="fr-FR"/>
        </w:rPr>
        <w:t xml:space="preserve">. 1515 </w:t>
      </w:r>
      <w:r>
        <w:rPr>
          <w:rFonts w:ascii="Tahoma" w:hAnsi="Tahoma" w:cs="Tahoma"/>
        </w:rPr>
        <w:t>επ</w:t>
      </w:r>
      <w:r w:rsidRPr="00C21C44">
        <w:rPr>
          <w:rFonts w:ascii="Tahoma" w:hAnsi="Tahoma" w:cs="Tahoma"/>
          <w:lang w:val="fr-FR"/>
        </w:rPr>
        <w:t>.</w:t>
      </w:r>
    </w:p>
  </w:footnote>
  <w:footnote w:id="59">
    <w:p w:rsidR="00D67742" w:rsidRPr="00F97C10" w:rsidRDefault="00D67742" w:rsidP="00D67742">
      <w:pPr>
        <w:pStyle w:val="FootnoteText"/>
        <w:jc w:val="both"/>
        <w:rPr>
          <w:rFonts w:ascii="Tahoma" w:hAnsi="Tahoma" w:cs="Tahoma"/>
        </w:rPr>
      </w:pPr>
      <w:r>
        <w:rPr>
          <w:rStyle w:val="FootnoteReference"/>
        </w:rPr>
        <w:footnoteRef/>
      </w:r>
      <w:r>
        <w:t xml:space="preserve"> </w:t>
      </w:r>
      <w:r>
        <w:rPr>
          <w:rFonts w:ascii="Tahoma" w:hAnsi="Tahoma" w:cs="Tahoma"/>
        </w:rPr>
        <w:t>Βλ., υπόθεση C-180/96 Ηνωμένο Βασίλειο κατά Επιτροπής [1996] Συλλ Ι-3903</w:t>
      </w:r>
      <w:r w:rsidRPr="00F97C10">
        <w:rPr>
          <w:rFonts w:ascii="Tahoma" w:hAnsi="Tahoma" w:cs="Tahoma"/>
        </w:rPr>
        <w:t xml:space="preserve"> και</w:t>
      </w:r>
      <w:r>
        <w:rPr>
          <w:rFonts w:ascii="Tahoma" w:hAnsi="Tahoma" w:cs="Tahoma"/>
        </w:rPr>
        <w:t xml:space="preserve"> υπόθεση C-504/04 Agrarproduktion [2006] Συλλ Ι-679, παρ. 38, 40 και 46.</w:t>
      </w:r>
      <w:r w:rsidRPr="00F97C10">
        <w:rPr>
          <w:rFonts w:ascii="Tahoma" w:hAnsi="Tahoma" w:cs="Tahoma"/>
        </w:rPr>
        <w:t xml:space="preserve"> </w:t>
      </w:r>
      <w:r>
        <w:rPr>
          <w:rFonts w:ascii="Tahoma" w:hAnsi="Tahoma" w:cs="Tahoma"/>
        </w:rPr>
        <w:t xml:space="preserve"> </w:t>
      </w:r>
    </w:p>
  </w:footnote>
  <w:footnote w:id="60">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7E0D78">
        <w:rPr>
          <w:rFonts w:ascii="Tahoma" w:hAnsi="Tahoma" w:cs="Tahoma"/>
          <w:lang w:val="fr-FR"/>
        </w:rPr>
        <w:t xml:space="preserve"> </w:t>
      </w:r>
      <w:r>
        <w:rPr>
          <w:rFonts w:ascii="Tahoma" w:hAnsi="Tahoma" w:cs="Tahoma"/>
        </w:rPr>
        <w:t>Υπόθεση</w:t>
      </w:r>
      <w:r w:rsidRPr="007E0D78">
        <w:rPr>
          <w:rFonts w:ascii="Tahoma" w:hAnsi="Tahoma" w:cs="Tahoma"/>
          <w:lang w:val="fr-FR"/>
        </w:rPr>
        <w:t xml:space="preserve"> </w:t>
      </w:r>
      <w:r w:rsidRPr="00A14184">
        <w:rPr>
          <w:rFonts w:ascii="Tahoma" w:hAnsi="Tahoma" w:cs="Tahoma"/>
          <w:lang w:val="fr-FR"/>
        </w:rPr>
        <w:t>C-352/98 Laboratoir</w:t>
      </w:r>
      <w:r>
        <w:rPr>
          <w:rFonts w:ascii="Tahoma" w:hAnsi="Tahoma" w:cs="Tahoma"/>
          <w:lang w:val="fr-FR"/>
        </w:rPr>
        <w:t>es pharmaceutiques Bergaderm SA</w:t>
      </w:r>
      <w:r w:rsidRPr="007D4ED6">
        <w:rPr>
          <w:rFonts w:ascii="Tahoma" w:hAnsi="Tahoma" w:cs="Tahoma"/>
          <w:lang w:val="fr-FR"/>
        </w:rPr>
        <w:t xml:space="preserve"> </w:t>
      </w:r>
      <w:r>
        <w:rPr>
          <w:rFonts w:ascii="Tahoma" w:hAnsi="Tahoma" w:cs="Tahoma"/>
          <w:lang w:val="fr-FR"/>
        </w:rPr>
        <w:t>[2000]</w:t>
      </w:r>
      <w:r w:rsidRPr="00A14184">
        <w:rPr>
          <w:rFonts w:ascii="Tahoma" w:hAnsi="Tahoma" w:cs="Tahoma"/>
          <w:lang w:val="fr-FR"/>
        </w:rPr>
        <w:t xml:space="preserve"> </w:t>
      </w:r>
      <w:r w:rsidRPr="00A14184">
        <w:rPr>
          <w:rFonts w:ascii="Tahoma" w:hAnsi="Tahoma" w:cs="Tahoma"/>
        </w:rPr>
        <w:t>Συλλ</w:t>
      </w:r>
      <w:r w:rsidRPr="00A14184">
        <w:rPr>
          <w:rFonts w:ascii="Tahoma" w:hAnsi="Tahoma" w:cs="Tahoma"/>
          <w:lang w:val="fr-FR"/>
        </w:rPr>
        <w:t xml:space="preserve">. </w:t>
      </w:r>
      <w:r>
        <w:rPr>
          <w:rFonts w:ascii="Tahoma" w:hAnsi="Tahoma" w:cs="Tahoma"/>
        </w:rPr>
        <w:t>Ι-5291</w:t>
      </w:r>
      <w:r w:rsidRPr="00A14184">
        <w:rPr>
          <w:rFonts w:ascii="Tahoma" w:hAnsi="Tahoma" w:cs="Tahoma"/>
        </w:rPr>
        <w:t>, παρ. 61: «Η Επιτροπή έχει στην περίπτωση ευαίσθητων και αμφιλεγόμενων φακέλων αρκετά ευρύ περιθώριο εκτιμήσεως […</w:t>
      </w:r>
      <w:r>
        <w:rPr>
          <w:rFonts w:ascii="Tahoma" w:hAnsi="Tahoma" w:cs="Tahoma"/>
        </w:rPr>
        <w:t>…</w:t>
      </w:r>
      <w:r w:rsidRPr="001E07E3">
        <w:rPr>
          <w:rFonts w:ascii="Tahoma" w:hAnsi="Tahoma" w:cs="Tahoma"/>
        </w:rPr>
        <w:t>…</w:t>
      </w:r>
      <w:r>
        <w:rPr>
          <w:rFonts w:ascii="Tahoma" w:hAnsi="Tahoma" w:cs="Tahoma"/>
        </w:rPr>
        <w:t>]</w:t>
      </w:r>
      <w:r w:rsidRPr="00A14184">
        <w:rPr>
          <w:rFonts w:ascii="Tahoma" w:hAnsi="Tahoma" w:cs="Tahoma"/>
        </w:rPr>
        <w:t xml:space="preserve">  </w:t>
      </w:r>
    </w:p>
  </w:footnote>
  <w:footnote w:id="61">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Βλ., ενδεικτικά, Υπόθεση </w:t>
      </w:r>
      <w:r w:rsidRPr="00A14184">
        <w:rPr>
          <w:rFonts w:ascii="Tahoma" w:hAnsi="Tahoma" w:cs="Tahoma"/>
          <w:lang w:val="fr-FR"/>
        </w:rPr>
        <w:t>C</w:t>
      </w:r>
      <w:r w:rsidRPr="00A14184">
        <w:rPr>
          <w:rFonts w:ascii="Tahoma" w:hAnsi="Tahoma" w:cs="Tahoma"/>
        </w:rPr>
        <w:t xml:space="preserve">-192/01 Επιτροπή κατά Δανίας, ό.π., παρ. 47. </w:t>
      </w:r>
    </w:p>
  </w:footnote>
  <w:footnote w:id="62">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Το ίδιο παρατηρούμε και στις υποθέσεις  </w:t>
      </w:r>
      <w:r w:rsidRPr="00A14184">
        <w:rPr>
          <w:rFonts w:ascii="Tahoma" w:hAnsi="Tahoma" w:cs="Tahoma"/>
          <w:lang w:val="en-US"/>
        </w:rPr>
        <w:t>Pfizer</w:t>
      </w:r>
      <w:r w:rsidRPr="00A14184">
        <w:rPr>
          <w:rFonts w:ascii="Tahoma" w:hAnsi="Tahoma" w:cs="Tahoma"/>
        </w:rPr>
        <w:t xml:space="preserve"> και </w:t>
      </w:r>
      <w:r w:rsidRPr="00A14184">
        <w:rPr>
          <w:rFonts w:ascii="Tahoma" w:hAnsi="Tahoma" w:cs="Tahoma"/>
          <w:lang w:val="en-US"/>
        </w:rPr>
        <w:t>Artegodan</w:t>
      </w:r>
      <w:r w:rsidRPr="00A14184">
        <w:rPr>
          <w:rFonts w:ascii="Tahoma" w:hAnsi="Tahoma" w:cs="Tahoma"/>
        </w:rPr>
        <w:t xml:space="preserve"> (ό.π.) Το κοινό σημείο όλων αυτών των υποθέσεων ήταν η επιστημονική αβεβαιότητα των επικείμενων κινδύνων για την ανθρώπινη υγεία, και αυτός ήταν ο λόγος του εκτεταμένου, στην πράξη, ελέγχο</w:t>
      </w:r>
      <w:r>
        <w:rPr>
          <w:rFonts w:ascii="Tahoma" w:hAnsi="Tahoma" w:cs="Tahoma"/>
        </w:rPr>
        <w:t xml:space="preserve">υ. </w:t>
      </w:r>
    </w:p>
  </w:footnote>
  <w:footnote w:id="63">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rPr>
        <w:t xml:space="preserve"> Βλ, ενδεικτικά, υπόθ. </w:t>
      </w:r>
      <w:r w:rsidRPr="00A14184">
        <w:rPr>
          <w:rFonts w:ascii="Tahoma" w:hAnsi="Tahoma" w:cs="Tahoma"/>
          <w:lang w:val="en-US"/>
        </w:rPr>
        <w:t>Artegodan</w:t>
      </w:r>
      <w:r w:rsidRPr="00A14184">
        <w:rPr>
          <w:rFonts w:ascii="Tahoma" w:hAnsi="Tahoma" w:cs="Tahoma"/>
        </w:rPr>
        <w:t>, ό.π., παρ. 186 και 192. Ομοίως</w:t>
      </w:r>
      <w:r w:rsidRPr="00A14184">
        <w:rPr>
          <w:rFonts w:ascii="Tahoma" w:hAnsi="Tahoma" w:cs="Tahoma"/>
          <w:lang w:val="en-GB"/>
        </w:rPr>
        <w:t xml:space="preserve">, </w:t>
      </w:r>
      <w:r w:rsidRPr="001C74E8">
        <w:rPr>
          <w:rFonts w:ascii="Tahoma" w:hAnsi="Tahoma" w:cs="Tahoma"/>
          <w:i/>
          <w:lang w:val="en-US"/>
        </w:rPr>
        <w:t>F. Jacobs</w:t>
      </w:r>
      <w:r w:rsidRPr="00A14184">
        <w:rPr>
          <w:rFonts w:ascii="Tahoma" w:hAnsi="Tahoma" w:cs="Tahoma"/>
          <w:lang w:val="en-US"/>
        </w:rPr>
        <w:t>, “The role of the European Court of Justice in the protection of the environment”,</w:t>
      </w:r>
      <w:r w:rsidRPr="00A14184">
        <w:rPr>
          <w:rFonts w:ascii="Tahoma" w:hAnsi="Tahoma" w:cs="Tahoma"/>
          <w:lang w:val="en-GB"/>
        </w:rPr>
        <w:t xml:space="preserve">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195.</w:t>
      </w:r>
    </w:p>
  </w:footnote>
  <w:footnote w:id="64">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1C74E8">
        <w:rPr>
          <w:rFonts w:ascii="Tahoma" w:hAnsi="Tahoma" w:cs="Tahoma"/>
          <w:i/>
          <w:lang w:val="en-GB"/>
        </w:rPr>
        <w:t>M. Lee</w:t>
      </w:r>
      <w:r w:rsidRPr="00A14184">
        <w:rPr>
          <w:rFonts w:ascii="Tahoma" w:hAnsi="Tahoma" w:cs="Tahoma"/>
          <w:lang w:val="en-GB"/>
        </w:rPr>
        <w:t xml:space="preserve">, </w:t>
      </w:r>
      <w:r w:rsidRPr="00A14184">
        <w:rPr>
          <w:rFonts w:ascii="Tahoma" w:hAnsi="Tahoma" w:cs="Tahoma"/>
          <w:lang w:val="en-US"/>
        </w:rPr>
        <w:t>EU Environmental Law.Challenges, Change and Decision-Making,</w:t>
      </w:r>
      <w:r w:rsidRPr="00A14184">
        <w:rPr>
          <w:rFonts w:ascii="Tahoma" w:hAnsi="Tahoma" w:cs="Tahoma"/>
          <w:lang w:val="en-GB"/>
        </w:rPr>
        <w:t xml:space="preserve">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xml:space="preserve">. 105. </w:t>
      </w:r>
    </w:p>
  </w:footnote>
  <w:footnote w:id="65">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lang w:val="en-GB"/>
        </w:rPr>
        <w:t xml:space="preserve"> </w:t>
      </w:r>
      <w:r w:rsidRPr="001C74E8">
        <w:rPr>
          <w:rFonts w:ascii="Tahoma" w:hAnsi="Tahoma" w:cs="Tahoma"/>
          <w:i/>
          <w:lang w:val="en-US"/>
        </w:rPr>
        <w:t>N</w:t>
      </w:r>
      <w:r w:rsidRPr="001C74E8">
        <w:rPr>
          <w:rFonts w:ascii="Tahoma" w:hAnsi="Tahoma" w:cs="Tahoma"/>
          <w:i/>
          <w:lang w:val="en-GB"/>
        </w:rPr>
        <w:t>.</w:t>
      </w:r>
      <w:r w:rsidRPr="001C74E8">
        <w:rPr>
          <w:rFonts w:ascii="Tahoma" w:hAnsi="Tahoma" w:cs="Tahoma"/>
          <w:i/>
          <w:lang w:val="en-US"/>
        </w:rPr>
        <w:t xml:space="preserve"> De Sadeleer</w:t>
      </w:r>
      <w:r w:rsidRPr="00A14184">
        <w:rPr>
          <w:rFonts w:ascii="Tahoma" w:hAnsi="Tahoma" w:cs="Tahoma"/>
          <w:lang w:val="en-US"/>
        </w:rPr>
        <w:t xml:space="preserve">, “The Precautionary Principle in EC Health and Environmental Law”, </w:t>
      </w:r>
      <w:r w:rsidRPr="00A14184">
        <w:rPr>
          <w:rFonts w:ascii="Tahoma" w:hAnsi="Tahoma" w:cs="Tahoma"/>
        </w:rPr>
        <w:t>ό</w:t>
      </w:r>
      <w:r w:rsidRPr="00A14184">
        <w:rPr>
          <w:rFonts w:ascii="Tahoma" w:hAnsi="Tahoma" w:cs="Tahoma"/>
          <w:lang w:val="en-GB"/>
        </w:rPr>
        <w:t>.</w:t>
      </w:r>
      <w:r w:rsidRPr="00A14184">
        <w:rPr>
          <w:rFonts w:ascii="Tahoma" w:hAnsi="Tahoma" w:cs="Tahoma"/>
        </w:rPr>
        <w:t>π</w:t>
      </w:r>
      <w:r w:rsidRPr="00A14184">
        <w:rPr>
          <w:rFonts w:ascii="Tahoma" w:hAnsi="Tahoma" w:cs="Tahoma"/>
          <w:lang w:val="en-GB"/>
        </w:rPr>
        <w:t xml:space="preserve">., </w:t>
      </w:r>
      <w:r w:rsidRPr="00A14184">
        <w:rPr>
          <w:rFonts w:ascii="Tahoma" w:hAnsi="Tahoma" w:cs="Tahoma"/>
        </w:rPr>
        <w:t>σ</w:t>
      </w:r>
      <w:r w:rsidRPr="00A14184">
        <w:rPr>
          <w:rFonts w:ascii="Tahoma" w:hAnsi="Tahoma" w:cs="Tahoma"/>
          <w:lang w:val="en-GB"/>
        </w:rPr>
        <w:t xml:space="preserve">. 144. </w:t>
      </w:r>
      <w:r w:rsidRPr="00A14184">
        <w:rPr>
          <w:rFonts w:ascii="Tahoma" w:hAnsi="Tahoma" w:cs="Tahoma"/>
        </w:rPr>
        <w:t>Βλ., ενδεικτικά, Οδηγία 2001/18/ΕΚ του Ευρωπαϊκού Κοινοβουλίου και του Συμβουλίου, της 12</w:t>
      </w:r>
      <w:r w:rsidRPr="00A14184">
        <w:rPr>
          <w:rFonts w:ascii="Tahoma" w:hAnsi="Tahoma" w:cs="Tahoma"/>
          <w:vertAlign w:val="superscript"/>
        </w:rPr>
        <w:t>ης</w:t>
      </w:r>
      <w:r w:rsidRPr="00A14184">
        <w:rPr>
          <w:rFonts w:ascii="Tahoma" w:hAnsi="Tahoma" w:cs="Tahoma"/>
        </w:rPr>
        <w:t xml:space="preserve"> Μαρτίου 2001, για τη σκόπιμη απελευθέρωση γενετικώς τροποποιημένων οργανισμών στο περιβάλλον και την κατάργηση της οδηγίας 90/220/ΕΟΚ του Συμβουλίου,  ΕΕ, </w:t>
      </w:r>
      <w:r w:rsidRPr="00A14184">
        <w:rPr>
          <w:rFonts w:ascii="Tahoma" w:hAnsi="Tahoma" w:cs="Tahoma"/>
          <w:lang w:val="en-US"/>
        </w:rPr>
        <w:t>L</w:t>
      </w:r>
      <w:r w:rsidRPr="00A14184">
        <w:rPr>
          <w:rFonts w:ascii="Tahoma" w:hAnsi="Tahoma" w:cs="Tahoma"/>
        </w:rPr>
        <w:t xml:space="preserve"> 106, 17.4.2001, σ. 1, (αιτ. σκέψη αριθ. 8 και άρθρο 4 παρ. 1.) Οδηγία 2001/42/ΕΚ του Ευρωπαϊκού Κοινοβουλίου και του Συμβουλίου, της 27ης Ιουνίου 2001 σχετικά με την εκτίμηση των περιβαλλοντικών επιπτώσεων ορισμένων σχεδίων και προγραμμάτων, ,  ΕΕ, </w:t>
      </w:r>
      <w:r w:rsidRPr="00A14184">
        <w:rPr>
          <w:rFonts w:ascii="Tahoma" w:hAnsi="Tahoma" w:cs="Tahoma"/>
          <w:lang w:val="en-US"/>
        </w:rPr>
        <w:t>L</w:t>
      </w:r>
      <w:r w:rsidRPr="00A14184">
        <w:rPr>
          <w:rFonts w:ascii="Tahoma" w:hAnsi="Tahoma" w:cs="Tahoma"/>
        </w:rPr>
        <w:t xml:space="preserve"> 197, της 21.7.2001, σ. 30 (αιτιολ. σκέψη αριθ. 1). Οδηγία 2001/95/ΕΚ του Ευρωπαϊκού Κοινοβουλίου και του Συμβουλίου της 3</w:t>
      </w:r>
      <w:r w:rsidRPr="00A14184">
        <w:rPr>
          <w:rFonts w:ascii="Tahoma" w:hAnsi="Tahoma" w:cs="Tahoma"/>
          <w:vertAlign w:val="superscript"/>
        </w:rPr>
        <w:t>ης</w:t>
      </w:r>
      <w:r w:rsidRPr="00A14184">
        <w:rPr>
          <w:rFonts w:ascii="Tahoma" w:hAnsi="Tahoma" w:cs="Tahoma"/>
        </w:rPr>
        <w:t xml:space="preserve"> Δεκεμβρίου 2001 για τη γενική ασφάλεια των προϊόντων, ΕΕ L 11, 15.1.2002, σ. 4 (άρθρο 8 παρ. 2).   Κανονισμός (ΕΚ)</w:t>
      </w:r>
      <w:r>
        <w:rPr>
          <w:rFonts w:ascii="Tahoma" w:hAnsi="Tahoma" w:cs="Tahoma"/>
        </w:rPr>
        <w:t xml:space="preserve"> 2371/2002</w:t>
      </w:r>
      <w:r w:rsidRPr="00A14184">
        <w:rPr>
          <w:rFonts w:ascii="Tahoma" w:hAnsi="Tahoma" w:cs="Tahoma"/>
        </w:rPr>
        <w:t xml:space="preserve"> του Συμβουλίου της 20</w:t>
      </w:r>
      <w:r w:rsidRPr="00A14184">
        <w:rPr>
          <w:rFonts w:ascii="Tahoma" w:hAnsi="Tahoma" w:cs="Tahoma"/>
          <w:vertAlign w:val="superscript"/>
        </w:rPr>
        <w:t>ης</w:t>
      </w:r>
      <w:r w:rsidRPr="00A14184">
        <w:rPr>
          <w:rFonts w:ascii="Tahoma" w:hAnsi="Tahoma" w:cs="Tahoma"/>
        </w:rPr>
        <w:t xml:space="preserve"> Δεκεμβρίου 2002 για τη διατήρηση και βιώσιμη εκμετάλλευση των αλιευτικών πόρων στο πλαίσιο της Κοινής Αλιευτικής Πολιτικής,  ΕΕ, </w:t>
      </w:r>
      <w:r w:rsidRPr="00A14184">
        <w:rPr>
          <w:rFonts w:ascii="Tahoma" w:hAnsi="Tahoma" w:cs="Tahoma"/>
          <w:lang w:val="en-US"/>
        </w:rPr>
        <w:t>L</w:t>
      </w:r>
      <w:r w:rsidRPr="00A14184">
        <w:rPr>
          <w:rFonts w:ascii="Tahoma" w:hAnsi="Tahoma" w:cs="Tahoma"/>
        </w:rPr>
        <w:t xml:space="preserve"> 358, της 31.12.2002, σ. 59 (αιτιολ. σκέψη αριθ. 3). Κανονισμός (ΕΚ) αριθ. 1907/2006 του Ευρωπαϊκού Κοινοβουλίου και του Συμβουλίου της 18</w:t>
      </w:r>
      <w:r w:rsidRPr="00A14184">
        <w:rPr>
          <w:rFonts w:ascii="Tahoma" w:hAnsi="Tahoma" w:cs="Tahoma"/>
          <w:vertAlign w:val="superscript"/>
        </w:rPr>
        <w:t>ης</w:t>
      </w:r>
      <w:r w:rsidRPr="00A14184">
        <w:rPr>
          <w:rFonts w:ascii="Tahoma" w:hAnsi="Tahoma" w:cs="Tahoma"/>
        </w:rPr>
        <w:t xml:space="preserve"> Δεκεμβρίου 2006 για την εγγραφή, αξιολόγηση, έγκριση και περιορισμό των χημικών (REACH), ΕΕ L 396/1 της 30.12.2006, άρθρο 1 (3).  </w:t>
      </w:r>
    </w:p>
  </w:footnote>
  <w:footnote w:id="66">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w:t>
      </w:r>
      <w:r w:rsidRPr="001C74E8">
        <w:rPr>
          <w:rFonts w:ascii="Tahoma" w:hAnsi="Tahoma" w:cs="Tahoma"/>
          <w:i/>
        </w:rPr>
        <w:t>Ευρωπαϊκή Επιτροπή</w:t>
      </w:r>
      <w:r w:rsidRPr="00A14184">
        <w:rPr>
          <w:rFonts w:ascii="Tahoma" w:hAnsi="Tahoma" w:cs="Tahoma"/>
        </w:rPr>
        <w:t xml:space="preserve">, Ευρωπαϊκή Διακυβέρνηση-Μια Λευκή Βίβλος, COM (2001) τελικό, Βρυξέλλες, 25.7.2001.  Ανακοίνωση της Επιτροπής για την αξιολογηση του αντικτύπου, </w:t>
      </w:r>
      <w:r w:rsidRPr="00A14184">
        <w:rPr>
          <w:rFonts w:ascii="Tahoma" w:hAnsi="Tahoma" w:cs="Tahoma"/>
          <w:lang w:val="en-US"/>
        </w:rPr>
        <w:t>COM</w:t>
      </w:r>
      <w:r w:rsidRPr="00A14184">
        <w:rPr>
          <w:rFonts w:ascii="Tahoma" w:hAnsi="Tahoma" w:cs="Tahoma"/>
        </w:rPr>
        <w:t xml:space="preserve"> (2002) 276 τελικό, Βρυξέλλες, 5.6.2002. Αναφορά της Επιτροπής για την Ευρωπαϊκή Διακυβέρνηση, </w:t>
      </w:r>
      <w:r w:rsidRPr="00A14184">
        <w:rPr>
          <w:rFonts w:ascii="Tahoma" w:hAnsi="Tahoma" w:cs="Tahoma"/>
          <w:lang w:val="en-US"/>
        </w:rPr>
        <w:t>COM</w:t>
      </w:r>
      <w:r w:rsidRPr="00A14184">
        <w:rPr>
          <w:rFonts w:ascii="Tahoma" w:hAnsi="Tahoma" w:cs="Tahoma"/>
        </w:rPr>
        <w:t xml:space="preserve"> (2002) 705 τελικό, Βρυξέλλες, 11.12.2002.</w:t>
      </w:r>
    </w:p>
  </w:footnote>
  <w:footnote w:id="67">
    <w:p w:rsidR="00D67742" w:rsidRPr="00A14184" w:rsidRDefault="00D67742" w:rsidP="00D67742">
      <w:pPr>
        <w:pStyle w:val="FootnoteText"/>
        <w:jc w:val="both"/>
        <w:rPr>
          <w:rFonts w:ascii="Tahoma" w:hAnsi="Tahoma" w:cs="Tahoma"/>
        </w:rPr>
      </w:pPr>
      <w:r w:rsidRPr="00A14184">
        <w:rPr>
          <w:rStyle w:val="FootnoteReference"/>
          <w:rFonts w:ascii="Tahoma" w:hAnsi="Tahoma" w:cs="Tahoma"/>
        </w:rPr>
        <w:footnoteRef/>
      </w:r>
      <w:r w:rsidRPr="00A14184">
        <w:rPr>
          <w:rFonts w:ascii="Tahoma" w:hAnsi="Tahoma" w:cs="Tahoma"/>
        </w:rPr>
        <w:t xml:space="preserve"> Αναλυτικότερα για το ζήτημα αυτό αναφερόμαστε στο Δεύτερο Μέρος, Δεύτερο Κεφάλαιο.</w:t>
      </w:r>
    </w:p>
  </w:footnote>
  <w:footnote w:id="68">
    <w:p w:rsidR="00D67742" w:rsidRPr="00A14184" w:rsidRDefault="00D67742" w:rsidP="00D67742">
      <w:pPr>
        <w:pStyle w:val="FootnoteText"/>
        <w:jc w:val="both"/>
        <w:rPr>
          <w:rFonts w:ascii="Tahoma" w:hAnsi="Tahoma" w:cs="Tahoma"/>
          <w:lang w:val="en-GB"/>
        </w:rPr>
      </w:pPr>
      <w:r w:rsidRPr="00A14184">
        <w:rPr>
          <w:rStyle w:val="FootnoteReference"/>
          <w:rFonts w:ascii="Tahoma" w:hAnsi="Tahoma" w:cs="Tahoma"/>
        </w:rPr>
        <w:footnoteRef/>
      </w:r>
      <w:r w:rsidRPr="00A14184">
        <w:rPr>
          <w:rFonts w:ascii="Tahoma" w:hAnsi="Tahoma" w:cs="Tahoma"/>
          <w:lang w:val="en-GB"/>
        </w:rPr>
        <w:t xml:space="preserve"> </w:t>
      </w:r>
      <w:r w:rsidRPr="00A14184">
        <w:rPr>
          <w:rFonts w:ascii="Tahoma" w:hAnsi="Tahoma" w:cs="Tahoma"/>
        </w:rPr>
        <w:t>Για</w:t>
      </w:r>
      <w:r w:rsidRPr="00A14184">
        <w:rPr>
          <w:rFonts w:ascii="Tahoma" w:hAnsi="Tahoma" w:cs="Tahoma"/>
          <w:lang w:val="en-GB"/>
        </w:rPr>
        <w:t xml:space="preserve"> </w:t>
      </w:r>
      <w:r w:rsidRPr="00A14184">
        <w:rPr>
          <w:rFonts w:ascii="Tahoma" w:hAnsi="Tahoma" w:cs="Tahoma"/>
        </w:rPr>
        <w:t>μια</w:t>
      </w:r>
      <w:r w:rsidRPr="00A14184">
        <w:rPr>
          <w:rFonts w:ascii="Tahoma" w:hAnsi="Tahoma" w:cs="Tahoma"/>
          <w:lang w:val="en-GB"/>
        </w:rPr>
        <w:t xml:space="preserve"> </w:t>
      </w:r>
      <w:r w:rsidRPr="00A14184">
        <w:rPr>
          <w:rFonts w:ascii="Tahoma" w:hAnsi="Tahoma" w:cs="Tahoma"/>
        </w:rPr>
        <w:t>αναλυτικότερη</w:t>
      </w:r>
      <w:r w:rsidRPr="00A14184">
        <w:rPr>
          <w:rFonts w:ascii="Tahoma" w:hAnsi="Tahoma" w:cs="Tahoma"/>
          <w:lang w:val="en-GB"/>
        </w:rPr>
        <w:t xml:space="preserve"> </w:t>
      </w:r>
      <w:r w:rsidRPr="00A14184">
        <w:rPr>
          <w:rFonts w:ascii="Tahoma" w:hAnsi="Tahoma" w:cs="Tahoma"/>
        </w:rPr>
        <w:t>παρουσίαση</w:t>
      </w:r>
      <w:r w:rsidRPr="00A14184">
        <w:rPr>
          <w:rFonts w:ascii="Tahoma" w:hAnsi="Tahoma" w:cs="Tahoma"/>
          <w:lang w:val="en-GB"/>
        </w:rPr>
        <w:t xml:space="preserve"> </w:t>
      </w:r>
      <w:r w:rsidRPr="00A14184">
        <w:rPr>
          <w:rFonts w:ascii="Tahoma" w:hAnsi="Tahoma" w:cs="Tahoma"/>
        </w:rPr>
        <w:t>του</w:t>
      </w:r>
      <w:r w:rsidRPr="00A14184">
        <w:rPr>
          <w:rFonts w:ascii="Tahoma" w:hAnsi="Tahoma" w:cs="Tahoma"/>
          <w:lang w:val="en-GB"/>
        </w:rPr>
        <w:t xml:space="preserve"> </w:t>
      </w:r>
      <w:r w:rsidRPr="00A14184">
        <w:rPr>
          <w:rFonts w:ascii="Tahoma" w:hAnsi="Tahoma" w:cs="Tahoma"/>
        </w:rPr>
        <w:t>ζητήματος</w:t>
      </w:r>
      <w:r w:rsidRPr="00A14184">
        <w:rPr>
          <w:rFonts w:ascii="Tahoma" w:hAnsi="Tahoma" w:cs="Tahoma"/>
          <w:lang w:val="en-GB"/>
        </w:rPr>
        <w:t xml:space="preserve">, </w:t>
      </w:r>
      <w:r w:rsidRPr="00A14184">
        <w:rPr>
          <w:rFonts w:ascii="Tahoma" w:hAnsi="Tahoma" w:cs="Tahoma"/>
        </w:rPr>
        <w:t>βλ</w:t>
      </w:r>
      <w:r w:rsidRPr="00A14184">
        <w:rPr>
          <w:rFonts w:ascii="Tahoma" w:hAnsi="Tahoma" w:cs="Tahoma"/>
          <w:lang w:val="en-GB"/>
        </w:rPr>
        <w:t xml:space="preserve">., </w:t>
      </w:r>
      <w:r w:rsidRPr="001C74E8">
        <w:rPr>
          <w:rFonts w:ascii="Tahoma" w:hAnsi="Tahoma" w:cs="Tahoma"/>
          <w:i/>
          <w:lang w:val="en-GB"/>
        </w:rPr>
        <w:t>R.E. Lofstedt</w:t>
      </w:r>
      <w:r w:rsidRPr="00A14184">
        <w:rPr>
          <w:rFonts w:ascii="Tahoma" w:hAnsi="Tahoma" w:cs="Tahoma"/>
          <w:lang w:val="en-GB"/>
        </w:rPr>
        <w:t>, “The Swing of the Reg</w:t>
      </w:r>
      <w:r w:rsidRPr="00A14184">
        <w:rPr>
          <w:rFonts w:ascii="Tahoma" w:hAnsi="Tahoma" w:cs="Tahoma"/>
          <w:lang w:val="en-US"/>
        </w:rPr>
        <w:t xml:space="preserve">ulatory Pendulum in </w:t>
      </w:r>
      <w:smartTag w:uri="urn:schemas-microsoft-com:office:smarttags" w:element="place">
        <w:r w:rsidRPr="00A14184">
          <w:rPr>
            <w:rFonts w:ascii="Tahoma" w:hAnsi="Tahoma" w:cs="Tahoma"/>
            <w:lang w:val="en-US"/>
          </w:rPr>
          <w:t>Europe</w:t>
        </w:r>
      </w:smartTag>
      <w:r w:rsidRPr="00A14184">
        <w:rPr>
          <w:rFonts w:ascii="Tahoma" w:hAnsi="Tahoma" w:cs="Tahoma"/>
          <w:lang w:val="en-US"/>
        </w:rPr>
        <w:t>: From Precautionary Principle to (Regulatory) Impact Analysis”</w:t>
      </w:r>
      <w:r w:rsidRPr="00A14184">
        <w:rPr>
          <w:rFonts w:ascii="Tahoma" w:hAnsi="Tahoma" w:cs="Tahoma"/>
          <w:lang w:val="en-GB"/>
        </w:rPr>
        <w:t>,</w:t>
      </w:r>
      <w:r w:rsidRPr="00A14184">
        <w:rPr>
          <w:rFonts w:ascii="Tahoma" w:hAnsi="Tahoma" w:cs="Tahoma"/>
          <w:lang w:val="en-US"/>
        </w:rPr>
        <w:t xml:space="preserve"> The Journal of Risk and Uncertainty, Vol. 28, 2004, σ. </w:t>
      </w:r>
      <w:r w:rsidRPr="00A14184">
        <w:rPr>
          <w:rFonts w:ascii="Tahoma" w:hAnsi="Tahoma" w:cs="Tahoma"/>
          <w:lang w:val="en-GB"/>
        </w:rPr>
        <w:t>237-260.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922"/>
      <w:docPartObj>
        <w:docPartGallery w:val="Page Numbers (Top of Page)"/>
        <w:docPartUnique/>
      </w:docPartObj>
    </w:sdtPr>
    <w:sdtEndPr/>
    <w:sdtContent>
      <w:p w:rsidR="00D04DE8" w:rsidRDefault="00A641E2">
        <w:pPr>
          <w:pStyle w:val="Header"/>
          <w:jc w:val="center"/>
        </w:pPr>
        <w:r>
          <w:fldChar w:fldCharType="begin"/>
        </w:r>
        <w:r>
          <w:instrText xml:space="preserve"> PAGE   \* MERGEFORMAT </w:instrText>
        </w:r>
        <w:r>
          <w:fldChar w:fldCharType="separate"/>
        </w:r>
        <w:r w:rsidR="00892E1A">
          <w:rPr>
            <w:noProof/>
          </w:rPr>
          <w:t>2</w:t>
        </w:r>
        <w:r>
          <w:rPr>
            <w:noProof/>
          </w:rPr>
          <w:fldChar w:fldCharType="end"/>
        </w:r>
      </w:p>
    </w:sdtContent>
  </w:sdt>
  <w:p w:rsidR="00D04DE8" w:rsidRDefault="00D04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62E85"/>
    <w:multiLevelType w:val="multilevel"/>
    <w:tmpl w:val="A4607332"/>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6F1012E3"/>
    <w:multiLevelType w:val="multilevel"/>
    <w:tmpl w:val="A4607332"/>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7A9D3255"/>
    <w:multiLevelType w:val="multilevel"/>
    <w:tmpl w:val="B69C3780"/>
    <w:lvl w:ilvl="0">
      <w:start w:val="2"/>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7C93764D"/>
    <w:multiLevelType w:val="hybridMultilevel"/>
    <w:tmpl w:val="B69C3780"/>
    <w:lvl w:ilvl="0" w:tplc="0846E654">
      <w:start w:val="2"/>
      <w:numFmt w:val="decimal"/>
      <w:lvlText w:val="%1."/>
      <w:lvlJc w:val="left"/>
      <w:pPr>
        <w:tabs>
          <w:tab w:val="num" w:pos="1260"/>
        </w:tabs>
        <w:ind w:left="1260" w:hanging="360"/>
      </w:pPr>
      <w:rPr>
        <w:rFonts w:hint="default"/>
      </w:r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42"/>
    <w:rsid w:val="00047B75"/>
    <w:rsid w:val="001A03C8"/>
    <w:rsid w:val="003407A1"/>
    <w:rsid w:val="003E2EF1"/>
    <w:rsid w:val="003E496B"/>
    <w:rsid w:val="005A0370"/>
    <w:rsid w:val="007927CB"/>
    <w:rsid w:val="0082506C"/>
    <w:rsid w:val="00892E1A"/>
    <w:rsid w:val="008B660A"/>
    <w:rsid w:val="00905B50"/>
    <w:rsid w:val="00A641E2"/>
    <w:rsid w:val="00B87077"/>
    <w:rsid w:val="00D04DE8"/>
    <w:rsid w:val="00D45571"/>
    <w:rsid w:val="00D67742"/>
    <w:rsid w:val="00E57CA5"/>
    <w:rsid w:val="00E964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42"/>
    <w:pPr>
      <w:overflowPunct w:val="0"/>
      <w:autoSpaceDE w:val="0"/>
      <w:autoSpaceDN w:val="0"/>
      <w:adjustRightInd w:val="0"/>
      <w:jc w:val="left"/>
      <w:textAlignment w:val="baseline"/>
    </w:pPr>
    <w:rPr>
      <w:rFonts w:ascii="Arial" w:eastAsia="Times New Roman" w:hAnsi="Arial" w:cs="Times New Roman"/>
      <w:sz w:val="24"/>
      <w:szCs w:val="20"/>
      <w:lang w:eastAsia="el-GR" w:bidi="ar-SA"/>
    </w:rPr>
  </w:style>
  <w:style w:type="paragraph" w:styleId="Heading1">
    <w:name w:val="heading 1"/>
    <w:basedOn w:val="Normal"/>
    <w:next w:val="Normal"/>
    <w:link w:val="Heading1Char"/>
    <w:qFormat/>
    <w:rsid w:val="00D67742"/>
    <w:pPr>
      <w:keepNext/>
      <w:spacing w:line="360" w:lineRule="auto"/>
      <w:jc w:val="center"/>
      <w:outlineLvl w:val="0"/>
    </w:pPr>
    <w:rPr>
      <w:u w:val="single"/>
    </w:rPr>
  </w:style>
  <w:style w:type="paragraph" w:styleId="Heading2">
    <w:name w:val="heading 2"/>
    <w:basedOn w:val="Normal"/>
    <w:next w:val="Normal"/>
    <w:link w:val="Heading2Char"/>
    <w:qFormat/>
    <w:rsid w:val="00D67742"/>
    <w:pPr>
      <w:keepNext/>
      <w:spacing w:line="360" w:lineRule="auto"/>
      <w:jc w:val="center"/>
      <w:outlineLvl w:val="1"/>
    </w:pPr>
    <w:rPr>
      <w:b/>
      <w:u w:val="single"/>
    </w:rPr>
  </w:style>
  <w:style w:type="paragraph" w:styleId="Heading3">
    <w:name w:val="heading 3"/>
    <w:basedOn w:val="Normal"/>
    <w:next w:val="Normal"/>
    <w:link w:val="Heading3Char"/>
    <w:qFormat/>
    <w:rsid w:val="00D67742"/>
    <w:pPr>
      <w:keepNext/>
      <w:spacing w:line="360" w:lineRule="auto"/>
      <w:jc w:val="center"/>
      <w:outlineLvl w:val="2"/>
    </w:pPr>
    <w:rPr>
      <w:b/>
    </w:rPr>
  </w:style>
  <w:style w:type="paragraph" w:styleId="Heading4">
    <w:name w:val="heading 4"/>
    <w:basedOn w:val="Normal"/>
    <w:next w:val="Normal"/>
    <w:link w:val="Heading4Char"/>
    <w:qFormat/>
    <w:rsid w:val="00D67742"/>
    <w:pPr>
      <w:keepNext/>
      <w:tabs>
        <w:tab w:val="left" w:pos="720"/>
      </w:tabs>
      <w:spacing w:line="360" w:lineRule="auto"/>
      <w:ind w:left="360"/>
      <w:jc w:val="center"/>
      <w:outlineLvl w:val="3"/>
    </w:pPr>
    <w:rPr>
      <w:b/>
    </w:rPr>
  </w:style>
  <w:style w:type="paragraph" w:styleId="Heading5">
    <w:name w:val="heading 5"/>
    <w:basedOn w:val="Normal"/>
    <w:next w:val="Normal"/>
    <w:link w:val="Heading5Char"/>
    <w:qFormat/>
    <w:rsid w:val="00D67742"/>
    <w:pPr>
      <w:keepNext/>
      <w:tabs>
        <w:tab w:val="left" w:pos="720"/>
      </w:tabs>
      <w:spacing w:line="360" w:lineRule="auto"/>
      <w:ind w:lef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742"/>
    <w:rPr>
      <w:rFonts w:ascii="Arial" w:eastAsia="Times New Roman" w:hAnsi="Arial" w:cs="Times New Roman"/>
      <w:sz w:val="24"/>
      <w:szCs w:val="20"/>
      <w:u w:val="single"/>
      <w:lang w:eastAsia="el-GR" w:bidi="ar-SA"/>
    </w:rPr>
  </w:style>
  <w:style w:type="character" w:customStyle="1" w:styleId="Heading2Char">
    <w:name w:val="Heading 2 Char"/>
    <w:basedOn w:val="DefaultParagraphFont"/>
    <w:link w:val="Heading2"/>
    <w:rsid w:val="00D67742"/>
    <w:rPr>
      <w:rFonts w:ascii="Arial" w:eastAsia="Times New Roman" w:hAnsi="Arial" w:cs="Times New Roman"/>
      <w:b/>
      <w:sz w:val="24"/>
      <w:szCs w:val="20"/>
      <w:u w:val="single"/>
      <w:lang w:eastAsia="el-GR" w:bidi="ar-SA"/>
    </w:rPr>
  </w:style>
  <w:style w:type="character" w:customStyle="1" w:styleId="Heading3Char">
    <w:name w:val="Heading 3 Char"/>
    <w:basedOn w:val="DefaultParagraphFont"/>
    <w:link w:val="Heading3"/>
    <w:rsid w:val="00D67742"/>
    <w:rPr>
      <w:rFonts w:ascii="Arial" w:eastAsia="Times New Roman" w:hAnsi="Arial" w:cs="Times New Roman"/>
      <w:b/>
      <w:sz w:val="24"/>
      <w:szCs w:val="20"/>
      <w:lang w:eastAsia="el-GR" w:bidi="ar-SA"/>
    </w:rPr>
  </w:style>
  <w:style w:type="character" w:customStyle="1" w:styleId="Heading4Char">
    <w:name w:val="Heading 4 Char"/>
    <w:basedOn w:val="DefaultParagraphFont"/>
    <w:link w:val="Heading4"/>
    <w:rsid w:val="00D67742"/>
    <w:rPr>
      <w:rFonts w:ascii="Arial" w:eastAsia="Times New Roman" w:hAnsi="Arial" w:cs="Times New Roman"/>
      <w:b/>
      <w:sz w:val="24"/>
      <w:szCs w:val="20"/>
      <w:lang w:eastAsia="el-GR" w:bidi="ar-SA"/>
    </w:rPr>
  </w:style>
  <w:style w:type="character" w:customStyle="1" w:styleId="Heading5Char">
    <w:name w:val="Heading 5 Char"/>
    <w:basedOn w:val="DefaultParagraphFont"/>
    <w:link w:val="Heading5"/>
    <w:rsid w:val="00D67742"/>
    <w:rPr>
      <w:rFonts w:ascii="Arial" w:eastAsia="Times New Roman" w:hAnsi="Arial" w:cs="Times New Roman"/>
      <w:sz w:val="24"/>
      <w:szCs w:val="20"/>
      <w:u w:val="single"/>
      <w:lang w:eastAsia="el-GR" w:bidi="ar-SA"/>
    </w:rPr>
  </w:style>
  <w:style w:type="paragraph" w:styleId="Footer">
    <w:name w:val="footer"/>
    <w:basedOn w:val="Normal"/>
    <w:link w:val="FooterChar"/>
    <w:rsid w:val="00D67742"/>
    <w:pPr>
      <w:tabs>
        <w:tab w:val="center" w:pos="4153"/>
        <w:tab w:val="right" w:pos="8306"/>
      </w:tabs>
    </w:pPr>
  </w:style>
  <w:style w:type="character" w:customStyle="1" w:styleId="FooterChar">
    <w:name w:val="Footer Char"/>
    <w:basedOn w:val="DefaultParagraphFont"/>
    <w:link w:val="Footer"/>
    <w:rsid w:val="00D67742"/>
    <w:rPr>
      <w:rFonts w:ascii="Arial" w:eastAsia="Times New Roman" w:hAnsi="Arial" w:cs="Times New Roman"/>
      <w:sz w:val="24"/>
      <w:szCs w:val="20"/>
      <w:lang w:eastAsia="el-GR" w:bidi="ar-SA"/>
    </w:rPr>
  </w:style>
  <w:style w:type="character" w:styleId="PageNumber">
    <w:name w:val="page number"/>
    <w:basedOn w:val="DefaultParagraphFont"/>
    <w:rsid w:val="00D67742"/>
  </w:style>
  <w:style w:type="paragraph" w:styleId="FootnoteText">
    <w:name w:val="footnote text"/>
    <w:basedOn w:val="Normal"/>
    <w:link w:val="FootnoteTextChar"/>
    <w:semiHidden/>
    <w:rsid w:val="00D67742"/>
    <w:rPr>
      <w:sz w:val="20"/>
    </w:rPr>
  </w:style>
  <w:style w:type="character" w:customStyle="1" w:styleId="FootnoteTextChar">
    <w:name w:val="Footnote Text Char"/>
    <w:basedOn w:val="DefaultParagraphFont"/>
    <w:link w:val="FootnoteText"/>
    <w:semiHidden/>
    <w:rsid w:val="00D67742"/>
    <w:rPr>
      <w:rFonts w:ascii="Arial" w:eastAsia="Times New Roman" w:hAnsi="Arial" w:cs="Times New Roman"/>
      <w:sz w:val="20"/>
      <w:szCs w:val="20"/>
      <w:lang w:eastAsia="el-GR" w:bidi="ar-SA"/>
    </w:rPr>
  </w:style>
  <w:style w:type="character" w:styleId="FootnoteReference">
    <w:name w:val="footnote reference"/>
    <w:basedOn w:val="DefaultParagraphFont"/>
    <w:semiHidden/>
    <w:rsid w:val="00D67742"/>
    <w:rPr>
      <w:vertAlign w:val="superscript"/>
    </w:rPr>
  </w:style>
  <w:style w:type="paragraph" w:styleId="BodyText">
    <w:name w:val="Body Text"/>
    <w:basedOn w:val="Normal"/>
    <w:link w:val="BodyTextChar"/>
    <w:rsid w:val="00D67742"/>
    <w:pPr>
      <w:spacing w:line="360" w:lineRule="auto"/>
      <w:jc w:val="both"/>
    </w:pPr>
  </w:style>
  <w:style w:type="character" w:customStyle="1" w:styleId="BodyTextChar">
    <w:name w:val="Body Text Char"/>
    <w:basedOn w:val="DefaultParagraphFont"/>
    <w:link w:val="BodyText"/>
    <w:rsid w:val="00D67742"/>
    <w:rPr>
      <w:rFonts w:ascii="Arial" w:eastAsia="Times New Roman" w:hAnsi="Arial" w:cs="Times New Roman"/>
      <w:sz w:val="24"/>
      <w:szCs w:val="20"/>
      <w:lang w:eastAsia="el-GR" w:bidi="ar-SA"/>
    </w:rPr>
  </w:style>
  <w:style w:type="paragraph" w:styleId="BodyText2">
    <w:name w:val="Body Text 2"/>
    <w:basedOn w:val="Normal"/>
    <w:link w:val="BodyText2Char"/>
    <w:rsid w:val="00D67742"/>
    <w:pPr>
      <w:spacing w:line="360" w:lineRule="auto"/>
      <w:ind w:left="360"/>
    </w:pPr>
  </w:style>
  <w:style w:type="character" w:customStyle="1" w:styleId="BodyText2Char">
    <w:name w:val="Body Text 2 Char"/>
    <w:basedOn w:val="DefaultParagraphFont"/>
    <w:link w:val="BodyText2"/>
    <w:rsid w:val="00D67742"/>
    <w:rPr>
      <w:rFonts w:ascii="Arial" w:eastAsia="Times New Roman" w:hAnsi="Arial" w:cs="Times New Roman"/>
      <w:sz w:val="24"/>
      <w:szCs w:val="20"/>
      <w:lang w:eastAsia="el-GR" w:bidi="ar-SA"/>
    </w:rPr>
  </w:style>
  <w:style w:type="paragraph" w:customStyle="1" w:styleId="Aeoyuoc-AunioEYiaCianiicia">
    <w:name w:val="Aeoy?uoc- A?u: ?nio: EYia: Cianiici?a:"/>
    <w:basedOn w:val="Normal"/>
    <w:rsid w:val="00D67742"/>
    <w:pPr>
      <w:pBdr>
        <w:left w:val="single" w:sz="18" w:space="1" w:color="auto"/>
      </w:pBdr>
    </w:pPr>
    <w:rPr>
      <w:sz w:val="20"/>
    </w:rPr>
  </w:style>
  <w:style w:type="paragraph" w:customStyle="1" w:styleId="Aeoyuoc-Aiooonioceaoaeaa">
    <w:name w:val="Aeoy?uoc- Aio?oonioc eaoae?aa"/>
    <w:basedOn w:val="Normal"/>
    <w:next w:val="Aeoyuoc-AunioEYiaCianiicia"/>
    <w:rsid w:val="00D67742"/>
    <w:pPr>
      <w:pBdr>
        <w:left w:val="single" w:sz="18" w:space="1" w:color="auto"/>
      </w:pBdr>
      <w:shd w:val="pct12" w:color="auto" w:fill="auto"/>
    </w:pPr>
    <w:rPr>
      <w:b/>
      <w:sz w:val="22"/>
    </w:rPr>
  </w:style>
  <w:style w:type="paragraph" w:customStyle="1" w:styleId="AUiococniecoc-Eaoaeaao">
    <w:name w:val="A?Uiococ/?ni?ecoc- Eaoae?aao"/>
    <w:basedOn w:val="Normal"/>
    <w:next w:val="AUiococniecocnioAuCianiicia"/>
    <w:rsid w:val="00D67742"/>
    <w:pPr>
      <w:pBdr>
        <w:left w:val="single" w:sz="18" w:space="1" w:color="auto"/>
      </w:pBdr>
      <w:shd w:val="pct10" w:color="auto" w:fill="auto"/>
    </w:pPr>
    <w:rPr>
      <w:b/>
      <w:noProof/>
      <w:sz w:val="20"/>
    </w:rPr>
  </w:style>
  <w:style w:type="paragraph" w:customStyle="1" w:styleId="AUiococniecocnioAuCianiicia">
    <w:name w:val="A?Uiococ/?ni?ecoc ?nio: A?u: Cianiici?a:"/>
    <w:basedOn w:val="Normal"/>
    <w:rsid w:val="00D67742"/>
    <w:pPr>
      <w:pBdr>
        <w:left w:val="single" w:sz="18" w:space="1" w:color="auto"/>
      </w:pBdr>
    </w:pPr>
    <w:rPr>
      <w:sz w:val="20"/>
    </w:rPr>
  </w:style>
  <w:style w:type="paragraph" w:styleId="Title">
    <w:name w:val="Title"/>
    <w:basedOn w:val="Normal"/>
    <w:link w:val="TitleChar"/>
    <w:qFormat/>
    <w:rsid w:val="00D67742"/>
    <w:pPr>
      <w:spacing w:line="360" w:lineRule="auto"/>
      <w:jc w:val="center"/>
    </w:pPr>
    <w:rPr>
      <w:b/>
    </w:rPr>
  </w:style>
  <w:style w:type="character" w:customStyle="1" w:styleId="TitleChar">
    <w:name w:val="Title Char"/>
    <w:basedOn w:val="DefaultParagraphFont"/>
    <w:link w:val="Title"/>
    <w:rsid w:val="00D67742"/>
    <w:rPr>
      <w:rFonts w:ascii="Arial" w:eastAsia="Times New Roman" w:hAnsi="Arial" w:cs="Times New Roman"/>
      <w:b/>
      <w:sz w:val="24"/>
      <w:szCs w:val="20"/>
      <w:lang w:eastAsia="el-GR" w:bidi="ar-SA"/>
    </w:rPr>
  </w:style>
  <w:style w:type="character" w:styleId="LineNumber">
    <w:name w:val="line number"/>
    <w:basedOn w:val="DefaultParagraphFont"/>
    <w:rsid w:val="00D67742"/>
    <w:rPr>
      <w:rFonts w:ascii="Times New Roman" w:hAnsi="Times New Roman"/>
    </w:rPr>
  </w:style>
  <w:style w:type="character" w:styleId="EndnoteReference">
    <w:name w:val="endnote reference"/>
    <w:basedOn w:val="DefaultParagraphFont"/>
    <w:semiHidden/>
    <w:rsid w:val="00D67742"/>
    <w:rPr>
      <w:rFonts w:ascii="Times New Roman" w:hAnsi="Times New Roman"/>
      <w:vertAlign w:val="superscript"/>
    </w:rPr>
  </w:style>
  <w:style w:type="character" w:styleId="CommentReference">
    <w:name w:val="annotation reference"/>
    <w:basedOn w:val="DefaultParagraphFont"/>
    <w:semiHidden/>
    <w:rsid w:val="00D67742"/>
    <w:rPr>
      <w:rFonts w:ascii="Times New Roman" w:hAnsi="Times New Roman"/>
      <w:sz w:val="16"/>
    </w:rPr>
  </w:style>
  <w:style w:type="paragraph" w:styleId="Subtitle">
    <w:name w:val="Subtitle"/>
    <w:basedOn w:val="Normal"/>
    <w:link w:val="SubtitleChar"/>
    <w:qFormat/>
    <w:rsid w:val="00D67742"/>
    <w:pPr>
      <w:spacing w:after="60"/>
      <w:jc w:val="center"/>
    </w:pPr>
  </w:style>
  <w:style w:type="character" w:customStyle="1" w:styleId="SubtitleChar">
    <w:name w:val="Subtitle Char"/>
    <w:basedOn w:val="DefaultParagraphFont"/>
    <w:link w:val="Subtitle"/>
    <w:rsid w:val="00D67742"/>
    <w:rPr>
      <w:rFonts w:ascii="Arial" w:eastAsia="Times New Roman" w:hAnsi="Arial" w:cs="Times New Roman"/>
      <w:sz w:val="24"/>
      <w:szCs w:val="20"/>
      <w:lang w:eastAsia="el-GR" w:bidi="ar-SA"/>
    </w:rPr>
  </w:style>
  <w:style w:type="character" w:styleId="Hyperlink">
    <w:name w:val="Hyperlink"/>
    <w:basedOn w:val="DefaultParagraphFont"/>
    <w:rsid w:val="00D67742"/>
    <w:rPr>
      <w:color w:val="0000FF"/>
      <w:u w:val="single"/>
    </w:rPr>
  </w:style>
  <w:style w:type="character" w:styleId="FollowedHyperlink">
    <w:name w:val="FollowedHyperlink"/>
    <w:basedOn w:val="DefaultParagraphFont"/>
    <w:rsid w:val="00D67742"/>
    <w:rPr>
      <w:color w:val="800080"/>
      <w:u w:val="single"/>
    </w:rPr>
  </w:style>
  <w:style w:type="paragraph" w:customStyle="1" w:styleId="BodyText21">
    <w:name w:val="Body Text 21"/>
    <w:basedOn w:val="Normal"/>
    <w:rsid w:val="00D67742"/>
    <w:pPr>
      <w:spacing w:line="360" w:lineRule="auto"/>
      <w:ind w:left="360"/>
    </w:pPr>
  </w:style>
  <w:style w:type="paragraph" w:styleId="BodyTextIndent2">
    <w:name w:val="Body Text Indent 2"/>
    <w:basedOn w:val="Normal"/>
    <w:link w:val="BodyTextIndent2Char"/>
    <w:rsid w:val="00D67742"/>
    <w:pPr>
      <w:spacing w:after="120" w:line="480" w:lineRule="auto"/>
      <w:ind w:left="283"/>
    </w:pPr>
  </w:style>
  <w:style w:type="character" w:customStyle="1" w:styleId="BodyTextIndent2Char">
    <w:name w:val="Body Text Indent 2 Char"/>
    <w:basedOn w:val="DefaultParagraphFont"/>
    <w:link w:val="BodyTextIndent2"/>
    <w:rsid w:val="00D67742"/>
    <w:rPr>
      <w:rFonts w:ascii="Arial" w:eastAsia="Times New Roman" w:hAnsi="Arial" w:cs="Times New Roman"/>
      <w:sz w:val="24"/>
      <w:szCs w:val="20"/>
      <w:lang w:eastAsia="el-GR" w:bidi="ar-SA"/>
    </w:rPr>
  </w:style>
  <w:style w:type="paragraph" w:styleId="Header">
    <w:name w:val="header"/>
    <w:basedOn w:val="Normal"/>
    <w:link w:val="HeaderChar"/>
    <w:uiPriority w:val="99"/>
    <w:rsid w:val="00D67742"/>
    <w:pPr>
      <w:tabs>
        <w:tab w:val="center" w:pos="4153"/>
        <w:tab w:val="right" w:pos="8306"/>
      </w:tabs>
      <w:overflowPunct/>
      <w:autoSpaceDE/>
      <w:autoSpaceDN/>
      <w:adjustRightInd/>
      <w:textAlignment w:val="auto"/>
    </w:pPr>
    <w:rPr>
      <w:rFonts w:ascii="Times New Roman" w:hAnsi="Times New Roman"/>
      <w:szCs w:val="24"/>
    </w:rPr>
  </w:style>
  <w:style w:type="character" w:customStyle="1" w:styleId="HeaderChar">
    <w:name w:val="Header Char"/>
    <w:basedOn w:val="DefaultParagraphFont"/>
    <w:link w:val="Header"/>
    <w:uiPriority w:val="99"/>
    <w:rsid w:val="00D67742"/>
    <w:rPr>
      <w:rFonts w:ascii="Times New Roman" w:eastAsia="Times New Roman" w:hAnsi="Times New Roman" w:cs="Times New Roman"/>
      <w:sz w:val="24"/>
      <w:szCs w:val="24"/>
      <w:lang w:eastAsia="el-G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l-GR" w:eastAsia="en-US" w:bidi="th-TH"/>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42"/>
    <w:pPr>
      <w:overflowPunct w:val="0"/>
      <w:autoSpaceDE w:val="0"/>
      <w:autoSpaceDN w:val="0"/>
      <w:adjustRightInd w:val="0"/>
      <w:jc w:val="left"/>
      <w:textAlignment w:val="baseline"/>
    </w:pPr>
    <w:rPr>
      <w:rFonts w:ascii="Arial" w:eastAsia="Times New Roman" w:hAnsi="Arial" w:cs="Times New Roman"/>
      <w:sz w:val="24"/>
      <w:szCs w:val="20"/>
      <w:lang w:eastAsia="el-GR" w:bidi="ar-SA"/>
    </w:rPr>
  </w:style>
  <w:style w:type="paragraph" w:styleId="Heading1">
    <w:name w:val="heading 1"/>
    <w:basedOn w:val="Normal"/>
    <w:next w:val="Normal"/>
    <w:link w:val="Heading1Char"/>
    <w:qFormat/>
    <w:rsid w:val="00D67742"/>
    <w:pPr>
      <w:keepNext/>
      <w:spacing w:line="360" w:lineRule="auto"/>
      <w:jc w:val="center"/>
      <w:outlineLvl w:val="0"/>
    </w:pPr>
    <w:rPr>
      <w:u w:val="single"/>
    </w:rPr>
  </w:style>
  <w:style w:type="paragraph" w:styleId="Heading2">
    <w:name w:val="heading 2"/>
    <w:basedOn w:val="Normal"/>
    <w:next w:val="Normal"/>
    <w:link w:val="Heading2Char"/>
    <w:qFormat/>
    <w:rsid w:val="00D67742"/>
    <w:pPr>
      <w:keepNext/>
      <w:spacing w:line="360" w:lineRule="auto"/>
      <w:jc w:val="center"/>
      <w:outlineLvl w:val="1"/>
    </w:pPr>
    <w:rPr>
      <w:b/>
      <w:u w:val="single"/>
    </w:rPr>
  </w:style>
  <w:style w:type="paragraph" w:styleId="Heading3">
    <w:name w:val="heading 3"/>
    <w:basedOn w:val="Normal"/>
    <w:next w:val="Normal"/>
    <w:link w:val="Heading3Char"/>
    <w:qFormat/>
    <w:rsid w:val="00D67742"/>
    <w:pPr>
      <w:keepNext/>
      <w:spacing w:line="360" w:lineRule="auto"/>
      <w:jc w:val="center"/>
      <w:outlineLvl w:val="2"/>
    </w:pPr>
    <w:rPr>
      <w:b/>
    </w:rPr>
  </w:style>
  <w:style w:type="paragraph" w:styleId="Heading4">
    <w:name w:val="heading 4"/>
    <w:basedOn w:val="Normal"/>
    <w:next w:val="Normal"/>
    <w:link w:val="Heading4Char"/>
    <w:qFormat/>
    <w:rsid w:val="00D67742"/>
    <w:pPr>
      <w:keepNext/>
      <w:tabs>
        <w:tab w:val="left" w:pos="720"/>
      </w:tabs>
      <w:spacing w:line="360" w:lineRule="auto"/>
      <w:ind w:left="360"/>
      <w:jc w:val="center"/>
      <w:outlineLvl w:val="3"/>
    </w:pPr>
    <w:rPr>
      <w:b/>
    </w:rPr>
  </w:style>
  <w:style w:type="paragraph" w:styleId="Heading5">
    <w:name w:val="heading 5"/>
    <w:basedOn w:val="Normal"/>
    <w:next w:val="Normal"/>
    <w:link w:val="Heading5Char"/>
    <w:qFormat/>
    <w:rsid w:val="00D67742"/>
    <w:pPr>
      <w:keepNext/>
      <w:tabs>
        <w:tab w:val="left" w:pos="720"/>
      </w:tabs>
      <w:spacing w:line="360" w:lineRule="auto"/>
      <w:ind w:left="360"/>
      <w:jc w:val="center"/>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742"/>
    <w:rPr>
      <w:rFonts w:ascii="Arial" w:eastAsia="Times New Roman" w:hAnsi="Arial" w:cs="Times New Roman"/>
      <w:sz w:val="24"/>
      <w:szCs w:val="20"/>
      <w:u w:val="single"/>
      <w:lang w:eastAsia="el-GR" w:bidi="ar-SA"/>
    </w:rPr>
  </w:style>
  <w:style w:type="character" w:customStyle="1" w:styleId="Heading2Char">
    <w:name w:val="Heading 2 Char"/>
    <w:basedOn w:val="DefaultParagraphFont"/>
    <w:link w:val="Heading2"/>
    <w:rsid w:val="00D67742"/>
    <w:rPr>
      <w:rFonts w:ascii="Arial" w:eastAsia="Times New Roman" w:hAnsi="Arial" w:cs="Times New Roman"/>
      <w:b/>
      <w:sz w:val="24"/>
      <w:szCs w:val="20"/>
      <w:u w:val="single"/>
      <w:lang w:eastAsia="el-GR" w:bidi="ar-SA"/>
    </w:rPr>
  </w:style>
  <w:style w:type="character" w:customStyle="1" w:styleId="Heading3Char">
    <w:name w:val="Heading 3 Char"/>
    <w:basedOn w:val="DefaultParagraphFont"/>
    <w:link w:val="Heading3"/>
    <w:rsid w:val="00D67742"/>
    <w:rPr>
      <w:rFonts w:ascii="Arial" w:eastAsia="Times New Roman" w:hAnsi="Arial" w:cs="Times New Roman"/>
      <w:b/>
      <w:sz w:val="24"/>
      <w:szCs w:val="20"/>
      <w:lang w:eastAsia="el-GR" w:bidi="ar-SA"/>
    </w:rPr>
  </w:style>
  <w:style w:type="character" w:customStyle="1" w:styleId="Heading4Char">
    <w:name w:val="Heading 4 Char"/>
    <w:basedOn w:val="DefaultParagraphFont"/>
    <w:link w:val="Heading4"/>
    <w:rsid w:val="00D67742"/>
    <w:rPr>
      <w:rFonts w:ascii="Arial" w:eastAsia="Times New Roman" w:hAnsi="Arial" w:cs="Times New Roman"/>
      <w:b/>
      <w:sz w:val="24"/>
      <w:szCs w:val="20"/>
      <w:lang w:eastAsia="el-GR" w:bidi="ar-SA"/>
    </w:rPr>
  </w:style>
  <w:style w:type="character" w:customStyle="1" w:styleId="Heading5Char">
    <w:name w:val="Heading 5 Char"/>
    <w:basedOn w:val="DefaultParagraphFont"/>
    <w:link w:val="Heading5"/>
    <w:rsid w:val="00D67742"/>
    <w:rPr>
      <w:rFonts w:ascii="Arial" w:eastAsia="Times New Roman" w:hAnsi="Arial" w:cs="Times New Roman"/>
      <w:sz w:val="24"/>
      <w:szCs w:val="20"/>
      <w:u w:val="single"/>
      <w:lang w:eastAsia="el-GR" w:bidi="ar-SA"/>
    </w:rPr>
  </w:style>
  <w:style w:type="paragraph" w:styleId="Footer">
    <w:name w:val="footer"/>
    <w:basedOn w:val="Normal"/>
    <w:link w:val="FooterChar"/>
    <w:rsid w:val="00D67742"/>
    <w:pPr>
      <w:tabs>
        <w:tab w:val="center" w:pos="4153"/>
        <w:tab w:val="right" w:pos="8306"/>
      </w:tabs>
    </w:pPr>
  </w:style>
  <w:style w:type="character" w:customStyle="1" w:styleId="FooterChar">
    <w:name w:val="Footer Char"/>
    <w:basedOn w:val="DefaultParagraphFont"/>
    <w:link w:val="Footer"/>
    <w:rsid w:val="00D67742"/>
    <w:rPr>
      <w:rFonts w:ascii="Arial" w:eastAsia="Times New Roman" w:hAnsi="Arial" w:cs="Times New Roman"/>
      <w:sz w:val="24"/>
      <w:szCs w:val="20"/>
      <w:lang w:eastAsia="el-GR" w:bidi="ar-SA"/>
    </w:rPr>
  </w:style>
  <w:style w:type="character" w:styleId="PageNumber">
    <w:name w:val="page number"/>
    <w:basedOn w:val="DefaultParagraphFont"/>
    <w:rsid w:val="00D67742"/>
  </w:style>
  <w:style w:type="paragraph" w:styleId="FootnoteText">
    <w:name w:val="footnote text"/>
    <w:basedOn w:val="Normal"/>
    <w:link w:val="FootnoteTextChar"/>
    <w:semiHidden/>
    <w:rsid w:val="00D67742"/>
    <w:rPr>
      <w:sz w:val="20"/>
    </w:rPr>
  </w:style>
  <w:style w:type="character" w:customStyle="1" w:styleId="FootnoteTextChar">
    <w:name w:val="Footnote Text Char"/>
    <w:basedOn w:val="DefaultParagraphFont"/>
    <w:link w:val="FootnoteText"/>
    <w:semiHidden/>
    <w:rsid w:val="00D67742"/>
    <w:rPr>
      <w:rFonts w:ascii="Arial" w:eastAsia="Times New Roman" w:hAnsi="Arial" w:cs="Times New Roman"/>
      <w:sz w:val="20"/>
      <w:szCs w:val="20"/>
      <w:lang w:eastAsia="el-GR" w:bidi="ar-SA"/>
    </w:rPr>
  </w:style>
  <w:style w:type="character" w:styleId="FootnoteReference">
    <w:name w:val="footnote reference"/>
    <w:basedOn w:val="DefaultParagraphFont"/>
    <w:semiHidden/>
    <w:rsid w:val="00D67742"/>
    <w:rPr>
      <w:vertAlign w:val="superscript"/>
    </w:rPr>
  </w:style>
  <w:style w:type="paragraph" w:styleId="BodyText">
    <w:name w:val="Body Text"/>
    <w:basedOn w:val="Normal"/>
    <w:link w:val="BodyTextChar"/>
    <w:rsid w:val="00D67742"/>
    <w:pPr>
      <w:spacing w:line="360" w:lineRule="auto"/>
      <w:jc w:val="both"/>
    </w:pPr>
  </w:style>
  <w:style w:type="character" w:customStyle="1" w:styleId="BodyTextChar">
    <w:name w:val="Body Text Char"/>
    <w:basedOn w:val="DefaultParagraphFont"/>
    <w:link w:val="BodyText"/>
    <w:rsid w:val="00D67742"/>
    <w:rPr>
      <w:rFonts w:ascii="Arial" w:eastAsia="Times New Roman" w:hAnsi="Arial" w:cs="Times New Roman"/>
      <w:sz w:val="24"/>
      <w:szCs w:val="20"/>
      <w:lang w:eastAsia="el-GR" w:bidi="ar-SA"/>
    </w:rPr>
  </w:style>
  <w:style w:type="paragraph" w:styleId="BodyText2">
    <w:name w:val="Body Text 2"/>
    <w:basedOn w:val="Normal"/>
    <w:link w:val="BodyText2Char"/>
    <w:rsid w:val="00D67742"/>
    <w:pPr>
      <w:spacing w:line="360" w:lineRule="auto"/>
      <w:ind w:left="360"/>
    </w:pPr>
  </w:style>
  <w:style w:type="character" w:customStyle="1" w:styleId="BodyText2Char">
    <w:name w:val="Body Text 2 Char"/>
    <w:basedOn w:val="DefaultParagraphFont"/>
    <w:link w:val="BodyText2"/>
    <w:rsid w:val="00D67742"/>
    <w:rPr>
      <w:rFonts w:ascii="Arial" w:eastAsia="Times New Roman" w:hAnsi="Arial" w:cs="Times New Roman"/>
      <w:sz w:val="24"/>
      <w:szCs w:val="20"/>
      <w:lang w:eastAsia="el-GR" w:bidi="ar-SA"/>
    </w:rPr>
  </w:style>
  <w:style w:type="paragraph" w:customStyle="1" w:styleId="Aeoyuoc-AunioEYiaCianiicia">
    <w:name w:val="Aeoy?uoc- A?u: ?nio: EYia: Cianiici?a:"/>
    <w:basedOn w:val="Normal"/>
    <w:rsid w:val="00D67742"/>
    <w:pPr>
      <w:pBdr>
        <w:left w:val="single" w:sz="18" w:space="1" w:color="auto"/>
      </w:pBdr>
    </w:pPr>
    <w:rPr>
      <w:sz w:val="20"/>
    </w:rPr>
  </w:style>
  <w:style w:type="paragraph" w:customStyle="1" w:styleId="Aeoyuoc-Aiooonioceaoaeaa">
    <w:name w:val="Aeoy?uoc- Aio?oonioc eaoae?aa"/>
    <w:basedOn w:val="Normal"/>
    <w:next w:val="Aeoyuoc-AunioEYiaCianiicia"/>
    <w:rsid w:val="00D67742"/>
    <w:pPr>
      <w:pBdr>
        <w:left w:val="single" w:sz="18" w:space="1" w:color="auto"/>
      </w:pBdr>
      <w:shd w:val="pct12" w:color="auto" w:fill="auto"/>
    </w:pPr>
    <w:rPr>
      <w:b/>
      <w:sz w:val="22"/>
    </w:rPr>
  </w:style>
  <w:style w:type="paragraph" w:customStyle="1" w:styleId="AUiococniecoc-Eaoaeaao">
    <w:name w:val="A?Uiococ/?ni?ecoc- Eaoae?aao"/>
    <w:basedOn w:val="Normal"/>
    <w:next w:val="AUiococniecocnioAuCianiicia"/>
    <w:rsid w:val="00D67742"/>
    <w:pPr>
      <w:pBdr>
        <w:left w:val="single" w:sz="18" w:space="1" w:color="auto"/>
      </w:pBdr>
      <w:shd w:val="pct10" w:color="auto" w:fill="auto"/>
    </w:pPr>
    <w:rPr>
      <w:b/>
      <w:noProof/>
      <w:sz w:val="20"/>
    </w:rPr>
  </w:style>
  <w:style w:type="paragraph" w:customStyle="1" w:styleId="AUiococniecocnioAuCianiicia">
    <w:name w:val="A?Uiococ/?ni?ecoc ?nio: A?u: Cianiici?a:"/>
    <w:basedOn w:val="Normal"/>
    <w:rsid w:val="00D67742"/>
    <w:pPr>
      <w:pBdr>
        <w:left w:val="single" w:sz="18" w:space="1" w:color="auto"/>
      </w:pBdr>
    </w:pPr>
    <w:rPr>
      <w:sz w:val="20"/>
    </w:rPr>
  </w:style>
  <w:style w:type="paragraph" w:styleId="Title">
    <w:name w:val="Title"/>
    <w:basedOn w:val="Normal"/>
    <w:link w:val="TitleChar"/>
    <w:qFormat/>
    <w:rsid w:val="00D67742"/>
    <w:pPr>
      <w:spacing w:line="360" w:lineRule="auto"/>
      <w:jc w:val="center"/>
    </w:pPr>
    <w:rPr>
      <w:b/>
    </w:rPr>
  </w:style>
  <w:style w:type="character" w:customStyle="1" w:styleId="TitleChar">
    <w:name w:val="Title Char"/>
    <w:basedOn w:val="DefaultParagraphFont"/>
    <w:link w:val="Title"/>
    <w:rsid w:val="00D67742"/>
    <w:rPr>
      <w:rFonts w:ascii="Arial" w:eastAsia="Times New Roman" w:hAnsi="Arial" w:cs="Times New Roman"/>
      <w:b/>
      <w:sz w:val="24"/>
      <w:szCs w:val="20"/>
      <w:lang w:eastAsia="el-GR" w:bidi="ar-SA"/>
    </w:rPr>
  </w:style>
  <w:style w:type="character" w:styleId="LineNumber">
    <w:name w:val="line number"/>
    <w:basedOn w:val="DefaultParagraphFont"/>
    <w:rsid w:val="00D67742"/>
    <w:rPr>
      <w:rFonts w:ascii="Times New Roman" w:hAnsi="Times New Roman"/>
    </w:rPr>
  </w:style>
  <w:style w:type="character" w:styleId="EndnoteReference">
    <w:name w:val="endnote reference"/>
    <w:basedOn w:val="DefaultParagraphFont"/>
    <w:semiHidden/>
    <w:rsid w:val="00D67742"/>
    <w:rPr>
      <w:rFonts w:ascii="Times New Roman" w:hAnsi="Times New Roman"/>
      <w:vertAlign w:val="superscript"/>
    </w:rPr>
  </w:style>
  <w:style w:type="character" w:styleId="CommentReference">
    <w:name w:val="annotation reference"/>
    <w:basedOn w:val="DefaultParagraphFont"/>
    <w:semiHidden/>
    <w:rsid w:val="00D67742"/>
    <w:rPr>
      <w:rFonts w:ascii="Times New Roman" w:hAnsi="Times New Roman"/>
      <w:sz w:val="16"/>
    </w:rPr>
  </w:style>
  <w:style w:type="paragraph" w:styleId="Subtitle">
    <w:name w:val="Subtitle"/>
    <w:basedOn w:val="Normal"/>
    <w:link w:val="SubtitleChar"/>
    <w:qFormat/>
    <w:rsid w:val="00D67742"/>
    <w:pPr>
      <w:spacing w:after="60"/>
      <w:jc w:val="center"/>
    </w:pPr>
  </w:style>
  <w:style w:type="character" w:customStyle="1" w:styleId="SubtitleChar">
    <w:name w:val="Subtitle Char"/>
    <w:basedOn w:val="DefaultParagraphFont"/>
    <w:link w:val="Subtitle"/>
    <w:rsid w:val="00D67742"/>
    <w:rPr>
      <w:rFonts w:ascii="Arial" w:eastAsia="Times New Roman" w:hAnsi="Arial" w:cs="Times New Roman"/>
      <w:sz w:val="24"/>
      <w:szCs w:val="20"/>
      <w:lang w:eastAsia="el-GR" w:bidi="ar-SA"/>
    </w:rPr>
  </w:style>
  <w:style w:type="character" w:styleId="Hyperlink">
    <w:name w:val="Hyperlink"/>
    <w:basedOn w:val="DefaultParagraphFont"/>
    <w:rsid w:val="00D67742"/>
    <w:rPr>
      <w:color w:val="0000FF"/>
      <w:u w:val="single"/>
    </w:rPr>
  </w:style>
  <w:style w:type="character" w:styleId="FollowedHyperlink">
    <w:name w:val="FollowedHyperlink"/>
    <w:basedOn w:val="DefaultParagraphFont"/>
    <w:rsid w:val="00D67742"/>
    <w:rPr>
      <w:color w:val="800080"/>
      <w:u w:val="single"/>
    </w:rPr>
  </w:style>
  <w:style w:type="paragraph" w:customStyle="1" w:styleId="BodyText21">
    <w:name w:val="Body Text 21"/>
    <w:basedOn w:val="Normal"/>
    <w:rsid w:val="00D67742"/>
    <w:pPr>
      <w:spacing w:line="360" w:lineRule="auto"/>
      <w:ind w:left="360"/>
    </w:pPr>
  </w:style>
  <w:style w:type="paragraph" w:styleId="BodyTextIndent2">
    <w:name w:val="Body Text Indent 2"/>
    <w:basedOn w:val="Normal"/>
    <w:link w:val="BodyTextIndent2Char"/>
    <w:rsid w:val="00D67742"/>
    <w:pPr>
      <w:spacing w:after="120" w:line="480" w:lineRule="auto"/>
      <w:ind w:left="283"/>
    </w:pPr>
  </w:style>
  <w:style w:type="character" w:customStyle="1" w:styleId="BodyTextIndent2Char">
    <w:name w:val="Body Text Indent 2 Char"/>
    <w:basedOn w:val="DefaultParagraphFont"/>
    <w:link w:val="BodyTextIndent2"/>
    <w:rsid w:val="00D67742"/>
    <w:rPr>
      <w:rFonts w:ascii="Arial" w:eastAsia="Times New Roman" w:hAnsi="Arial" w:cs="Times New Roman"/>
      <w:sz w:val="24"/>
      <w:szCs w:val="20"/>
      <w:lang w:eastAsia="el-GR" w:bidi="ar-SA"/>
    </w:rPr>
  </w:style>
  <w:style w:type="paragraph" w:styleId="Header">
    <w:name w:val="header"/>
    <w:basedOn w:val="Normal"/>
    <w:link w:val="HeaderChar"/>
    <w:uiPriority w:val="99"/>
    <w:rsid w:val="00D67742"/>
    <w:pPr>
      <w:tabs>
        <w:tab w:val="center" w:pos="4153"/>
        <w:tab w:val="right" w:pos="8306"/>
      </w:tabs>
      <w:overflowPunct/>
      <w:autoSpaceDE/>
      <w:autoSpaceDN/>
      <w:adjustRightInd/>
      <w:textAlignment w:val="auto"/>
    </w:pPr>
    <w:rPr>
      <w:rFonts w:ascii="Times New Roman" w:hAnsi="Times New Roman"/>
      <w:szCs w:val="24"/>
    </w:rPr>
  </w:style>
  <w:style w:type="character" w:customStyle="1" w:styleId="HeaderChar">
    <w:name w:val="Header Char"/>
    <w:basedOn w:val="DefaultParagraphFont"/>
    <w:link w:val="Header"/>
    <w:uiPriority w:val="99"/>
    <w:rsid w:val="00D67742"/>
    <w:rPr>
      <w:rFonts w:ascii="Times New Roman" w:eastAsia="Times New Roman" w:hAnsi="Times New Roman" w:cs="Times New Roman"/>
      <w:sz w:val="24"/>
      <w:szCs w:val="24"/>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odin.dep.no/archive/mdvedlegg/01/11/Engel0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LiteOS</Company>
  <LinksUpToDate>false</LinksUpToDate>
  <CharactersWithSpaces>18981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MoZarD</dc:creator>
  <cp:lastModifiedBy>Giwrgos Balias</cp:lastModifiedBy>
  <cp:revision>2</cp:revision>
  <dcterms:created xsi:type="dcterms:W3CDTF">2013-03-28T14:21:00Z</dcterms:created>
  <dcterms:modified xsi:type="dcterms:W3CDTF">2013-03-28T14:21:00Z</dcterms:modified>
</cp:coreProperties>
</file>