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AD25F">
      <w:pPr>
        <w:jc w:val="both"/>
        <w:rPr>
          <w:b/>
          <w:bCs/>
        </w:rPr>
      </w:pPr>
      <w:bookmarkStart w:id="0" w:name="_Hlk141997428"/>
      <w:bookmarkStart w:id="6" w:name="_GoBack"/>
      <w:bookmarkEnd w:id="6"/>
      <w:r>
        <w:rPr>
          <w:b/>
          <w:bCs/>
        </w:rPr>
        <w:t>ΒΙΒΛΙΟΓΡΑΦΙΑ – 1: Με συμμετοχή του διδάσκοντα Κ. Μωραΐτη</w:t>
      </w:r>
    </w:p>
    <w:p w14:paraId="22717BF7">
      <w:pPr>
        <w:jc w:val="both"/>
        <w:rPr>
          <w:b/>
          <w:bCs/>
        </w:rPr>
      </w:pPr>
    </w:p>
    <w:p w14:paraId="4666DFD3">
      <w:pPr>
        <w:jc w:val="both"/>
      </w:pPr>
      <w:r>
        <w:rPr>
          <w:b/>
          <w:bCs/>
        </w:rPr>
        <w:t>1 - Μωραΐτης, Κ. - Φιλιππίδης, Δ. (1993):</w:t>
      </w:r>
      <w:r>
        <w:t xml:space="preserve"> </w:t>
      </w:r>
      <w:r>
        <w:rPr>
          <w:b/>
          <w:bCs/>
        </w:rPr>
        <w:t xml:space="preserve">«Η ιστορική επαλληλία των πόλεων, ως συνθετικό αίτημα για τον φυσικό σχεδιασμό». </w:t>
      </w:r>
    </w:p>
    <w:p w14:paraId="3DD563B5">
      <w:pPr>
        <w:ind w:firstLine="720"/>
        <w:jc w:val="both"/>
      </w:pPr>
      <w:r>
        <w:t xml:space="preserve">Στο </w:t>
      </w:r>
      <w:r>
        <w:rPr>
          <w:i/>
          <w:iCs/>
        </w:rPr>
        <w:t>Νέες Πόλεις πάνω σε Παλιές</w:t>
      </w:r>
      <w:r>
        <w:t>. Αθήνα: Έκδ. ΥΠ.ΠΟ, σσ. 17-24.</w:t>
      </w:r>
      <w:bookmarkEnd w:id="0"/>
    </w:p>
    <w:p w14:paraId="69A62E6B">
      <w:pPr>
        <w:spacing w:line="276" w:lineRule="auto"/>
        <w:ind w:right="-42"/>
        <w:jc w:val="both"/>
        <w:rPr>
          <w:lang w:val="en-US"/>
        </w:rPr>
      </w:pPr>
    </w:p>
    <w:p w14:paraId="2CCA761B">
      <w:pPr>
        <w:spacing w:line="276" w:lineRule="auto"/>
        <w:ind w:right="-42"/>
        <w:jc w:val="both"/>
      </w:pPr>
      <w:r>
        <w:rPr>
          <w:b/>
          <w:bCs/>
        </w:rPr>
        <w:t>2 - Μωραΐτης, Κ. (2012α):</w:t>
      </w:r>
      <w:r>
        <w:t xml:space="preserve"> </w:t>
      </w:r>
      <w:r>
        <w:rPr>
          <w:b/>
          <w:bCs/>
          <w:i/>
        </w:rPr>
        <w:t>Το τοπίο πολιτιστικός προσδιορισμός του τόπου - Παρουσίαση και θεωρητικός συσχετισμός των σημαντικότερων νεότερων προσεγγίσεων της τοπιακής επεξεργασίας του τόπου.</w:t>
      </w:r>
      <w:r>
        <w:t xml:space="preserve"> </w:t>
      </w:r>
    </w:p>
    <w:p w14:paraId="36A77FF6">
      <w:pPr>
        <w:spacing w:line="276" w:lineRule="auto"/>
        <w:ind w:right="-42" w:firstLine="720"/>
        <w:jc w:val="both"/>
      </w:pPr>
      <w:r>
        <w:t>Αθήνα: Διδακτορική Διατριβή, Σχολή Αρχιτεκτόνων Μηχανικών Ε.Μ.Π.</w:t>
      </w:r>
    </w:p>
    <w:p w14:paraId="0F6080CA">
      <w:pPr>
        <w:spacing w:line="276" w:lineRule="auto"/>
        <w:ind w:right="-42"/>
        <w:jc w:val="both"/>
      </w:pPr>
    </w:p>
    <w:p w14:paraId="1C7335FC">
      <w:pPr>
        <w:spacing w:line="276" w:lineRule="auto"/>
        <w:ind w:right="-42"/>
        <w:jc w:val="both"/>
      </w:pPr>
      <w:r>
        <w:rPr>
          <w:b/>
          <w:bCs/>
        </w:rPr>
        <w:t>3 - Μωραΐτης, Κ. (2012β):</w:t>
      </w:r>
      <w:r>
        <w:t xml:space="preserve"> </w:t>
      </w:r>
      <w:r>
        <w:rPr>
          <w:b/>
          <w:bCs/>
        </w:rPr>
        <w:t>«Πως αποκαλύπτεται χωρικά το ήθος; ‘...Ordine geometrico demonstrato’».</w:t>
      </w:r>
      <w:r>
        <w:t xml:space="preserve"> </w:t>
      </w:r>
    </w:p>
    <w:p w14:paraId="52E4E1A0">
      <w:pPr>
        <w:spacing w:line="276" w:lineRule="auto"/>
        <w:ind w:right="-42" w:firstLine="720"/>
        <w:jc w:val="both"/>
      </w:pPr>
      <w:r>
        <w:t xml:space="preserve">Στο </w:t>
      </w:r>
      <w:r>
        <w:rPr>
          <w:i/>
        </w:rPr>
        <w:t>Τομές Ήθους και Χώρου</w:t>
      </w:r>
      <w:r>
        <w:t>, επιμ. Κ. Τσουκαλά, Ν.-Ι Τερζόγλου, Χ. Παντελίδου. Θεσσ/κη: Εκδ. Επίκεντρο, σσ. 63-102.</w:t>
      </w:r>
    </w:p>
    <w:p w14:paraId="5210CFDB">
      <w:pPr>
        <w:spacing w:line="276" w:lineRule="auto"/>
        <w:ind w:right="-42"/>
        <w:jc w:val="both"/>
        <w:rPr>
          <w:lang w:val="en-US"/>
        </w:rPr>
      </w:pPr>
    </w:p>
    <w:p w14:paraId="5144E297">
      <w:pPr>
        <w:spacing w:line="276" w:lineRule="auto"/>
        <w:ind w:right="-42"/>
        <w:jc w:val="both"/>
      </w:pPr>
      <w:r>
        <w:rPr>
          <w:b/>
          <w:bCs/>
        </w:rPr>
        <w:t>4 - Μωραΐτης, Κ. (2015):</w:t>
      </w:r>
      <w:r>
        <w:t xml:space="preserve"> </w:t>
      </w:r>
      <w:r>
        <w:rPr>
          <w:b/>
          <w:bCs/>
          <w:i/>
        </w:rPr>
        <w:t>Τέχνη του Τοπίου: Πολιτιστική επισκόπηση των νεωτερικών τοπιακών θεωρήσεων και διαμορφώσεων</w:t>
      </w:r>
      <w:r>
        <w:rPr>
          <w:b/>
          <w:bCs/>
        </w:rPr>
        <w:t>.</w:t>
      </w:r>
    </w:p>
    <w:p w14:paraId="2C0A3A92">
      <w:pPr>
        <w:spacing w:line="276" w:lineRule="auto"/>
        <w:ind w:right="-42" w:firstLine="720"/>
        <w:jc w:val="both"/>
      </w:pPr>
      <w:r>
        <w:t>Αθήνα: Ηλεκτρ. Εκδόσεις Κάλλιπος.</w:t>
      </w:r>
    </w:p>
    <w:p w14:paraId="2077B93E">
      <w:pPr>
        <w:spacing w:line="276" w:lineRule="auto"/>
        <w:ind w:right="-42"/>
        <w:jc w:val="both"/>
      </w:pPr>
    </w:p>
    <w:p w14:paraId="5379AA87">
      <w:pPr>
        <w:jc w:val="both"/>
        <w:rPr>
          <w:b/>
        </w:rPr>
      </w:pPr>
      <w:r>
        <w:rPr>
          <w:b/>
        </w:rPr>
        <w:t>5 - Μωραΐτης, Κ. (2017): «Ταυτότητα Περιφερειακών Πόλεων και Δίκτυα Επισκεψιμότητας».</w:t>
      </w:r>
    </w:p>
    <w:p w14:paraId="7D8FEBB5">
      <w:pPr>
        <w:ind w:firstLine="720"/>
        <w:jc w:val="both"/>
      </w:pPr>
      <w:r>
        <w:t xml:space="preserve">Μητούλα Ρ. (επιμ.): </w:t>
      </w:r>
      <w:r>
        <w:rPr>
          <w:iCs/>
        </w:rPr>
        <w:t>Πρακτικά Ημερίδας</w:t>
      </w:r>
      <w:r>
        <w:rPr>
          <w:i/>
        </w:rPr>
        <w:t xml:space="preserve"> Ελληνικές Περιφερειακές Πόλεις και Βιώσιμη Ανάπτυξη</w:t>
      </w:r>
      <w:r>
        <w:t>, σσ. 27 – 36.</w:t>
      </w:r>
    </w:p>
    <w:p w14:paraId="796889E2"/>
    <w:p w14:paraId="08C66293">
      <w:pPr>
        <w:jc w:val="both"/>
        <w:rPr>
          <w:b/>
        </w:rPr>
      </w:pPr>
      <w:r>
        <w:rPr>
          <w:b/>
        </w:rPr>
        <w:t>6 - Μωραΐτης, Κ. (2019): «Τοπίου Εγκώμιο. Το Τοπίο παντού….»</w:t>
      </w:r>
    </w:p>
    <w:p w14:paraId="3DC04525">
      <w:pPr>
        <w:jc w:val="both"/>
      </w:pPr>
      <w:r>
        <w:rPr>
          <w:b/>
        </w:rPr>
        <w:tab/>
      </w:r>
      <w:r>
        <w:t>Εισήγηση στο 9</w:t>
      </w:r>
      <w:r>
        <w:rPr>
          <w:vertAlign w:val="superscript"/>
        </w:rPr>
        <w:t>ο</w:t>
      </w:r>
      <w:r>
        <w:t xml:space="preserve"> Διαπανεπιστημιακό Σεμινάριο, Βιώσιμης Ανάπτυξης. Πολιτισμού και Παράδοσης, με θέμα «Τοπίο: Φυσικές και Πολιτισμικές Προσλήψεις», που οργανώθηκε από το Κέντρο Έρευνας Συριανού Πολιτισμού «Καθηγητής Ιωσήφ Στεφάνου», στην Άνω Σύρο, στις 16-21 Σεπτεμβρίου 2019. Δημοσιεύτηκε στην έκδοση Βασιλαρά Α. (επιμ.): </w:t>
      </w:r>
      <w:r>
        <w:rPr>
          <w:i/>
        </w:rPr>
        <w:t>Τοπίο: Φυσικές και Πολιτισμικές Προσλήψεις</w:t>
      </w:r>
      <w:r>
        <w:t>. Άνω Σύρος, εκδ. Ινστιτούτο Σύρου, 2019, σσ. 19-28.</w:t>
      </w:r>
    </w:p>
    <w:p w14:paraId="41F9E705">
      <w:pPr>
        <w:jc w:val="both"/>
      </w:pPr>
    </w:p>
    <w:p w14:paraId="2A07A82A">
      <w:pPr>
        <w:jc w:val="both"/>
        <w:rPr>
          <w:i/>
        </w:rPr>
      </w:pPr>
      <w:r>
        <w:rPr>
          <w:b/>
        </w:rPr>
        <w:t xml:space="preserve">7 - Μωραΐτης, Κ. (2024): </w:t>
      </w:r>
      <w:r>
        <w:rPr>
          <w:b/>
          <w:bCs/>
          <w:i/>
          <w:iCs/>
        </w:rPr>
        <w:t>Ακταίωνος Γάμοι. Κείμενα για το Τοπίο, την Πολιτισμική του Προσέγγιση και τον Σχεδιασμό του.</w:t>
      </w:r>
    </w:p>
    <w:p w14:paraId="130022EF">
      <w:pPr>
        <w:spacing w:line="276" w:lineRule="auto"/>
        <w:ind w:firstLine="720"/>
        <w:jc w:val="both"/>
        <w:rPr>
          <w:b/>
          <w:bCs/>
        </w:rPr>
      </w:pPr>
      <w:r>
        <w:t xml:space="preserve">Μονογραφία (2024): Ο τοπιακός σχεδιασμός, η σχέση του με την κτιριακή αρχιτεκτονική σύνθεση και τις συνολικότερες πολιτισμικές επιρροές συγκρότησης των εκφραστικών συστημάτων. Θεσσαλονίκη, Εκδ.Τζιόλα. </w:t>
      </w:r>
      <w:r>
        <w:rPr>
          <w:b/>
          <w:bCs/>
        </w:rPr>
        <w:t>ΙΔΙΑΙΤΕΡΑ ΚΕΦ. 9ο: «Το αστικό πορώδες, το τοπίο των κοινωνικών αστικών συσχετισμών και τα ‘πράσινα’ δίκτυα», σσ. 305-368.</w:t>
      </w:r>
    </w:p>
    <w:p w14:paraId="6A2F0CB7">
      <w:pPr>
        <w:jc w:val="both"/>
        <w:rPr>
          <w:b/>
        </w:rPr>
      </w:pPr>
    </w:p>
    <w:p w14:paraId="7946E857">
      <w:pPr>
        <w:jc w:val="both"/>
      </w:pPr>
      <w:r>
        <w:rPr>
          <w:b/>
        </w:rPr>
        <w:t xml:space="preserve">8 - Μωραΐτης Κ., Βασιλαρά Α., Λινάκη Ε. (επιμ. 2025): </w:t>
      </w:r>
      <w:r>
        <w:rPr>
          <w:b/>
          <w:i/>
          <w:iCs/>
        </w:rPr>
        <w:t>Ο Νεότερος Δυτικός Πολιτισμός και οι Ελληνικές Αναφορές του</w:t>
      </w:r>
      <w:r>
        <w:rPr>
          <w:b/>
        </w:rPr>
        <w:t>. Αθήνα: Πανεπιστημιακές Εκδόσεις Ε.Μ.Π.</w:t>
      </w:r>
      <w:r>
        <w:t xml:space="preserve"> </w:t>
      </w:r>
    </w:p>
    <w:p w14:paraId="304C3C15">
      <w:pPr>
        <w:ind w:firstLine="720"/>
        <w:jc w:val="both"/>
      </w:pPr>
      <w:r>
        <w:t>Συν-επιμέλεια έκδοσης και συμμετοχή με τη συν-συγγραφή του προλόγου και τη συγγραφή δύο κειμένων:</w:t>
      </w:r>
    </w:p>
    <w:p w14:paraId="77A9C060">
      <w:pPr>
        <w:jc w:val="both"/>
      </w:pPr>
      <w:r>
        <w:rPr>
          <w:b/>
        </w:rPr>
        <w:t>Μωραΐτης, Κ.:</w:t>
      </w:r>
      <w:r>
        <w:t xml:space="preserve"> Προλογικό Σημείωμα: Το θέμα της εκδοτικής μας προσπάθειας.</w:t>
      </w:r>
    </w:p>
    <w:p w14:paraId="46461F68">
      <w:pPr>
        <w:jc w:val="both"/>
      </w:pPr>
      <w:r>
        <w:rPr>
          <w:b/>
        </w:rPr>
        <w:t>Μωραΐτης, Κ.:</w:t>
      </w:r>
      <w:r>
        <w:t xml:space="preserve"> Τοπία πολιτικής αίγλης και δημοκρατικών επιλογών.</w:t>
      </w:r>
    </w:p>
    <w:p w14:paraId="0B2FAE6E">
      <w:pPr>
        <w:jc w:val="both"/>
      </w:pPr>
      <w:r>
        <w:rPr>
          <w:b/>
        </w:rPr>
        <w:t>Μωραΐτης, Κ.:</w:t>
      </w:r>
      <w:r>
        <w:t xml:space="preserve"> Οιδιπόδεια εμμονή: η ρομαντική επιστροφή στην αρχαία Ελλάδα.</w:t>
      </w:r>
    </w:p>
    <w:p w14:paraId="22938D0B">
      <w:pPr>
        <w:jc w:val="both"/>
        <w:rPr>
          <w:lang w:val="en-US"/>
        </w:rPr>
      </w:pPr>
    </w:p>
    <w:p w14:paraId="17DCF685">
      <w:pPr>
        <w:spacing w:line="276" w:lineRule="auto"/>
        <w:ind w:right="-42"/>
        <w:jc w:val="both"/>
      </w:pPr>
      <w:r>
        <w:rPr>
          <w:b/>
          <w:bCs/>
          <w:lang w:val="en-US"/>
        </w:rPr>
        <w:t xml:space="preserve">9 - </w:t>
      </w:r>
      <w:r>
        <w:rPr>
          <w:b/>
          <w:bCs/>
        </w:rPr>
        <w:t>Μ</w:t>
      </w:r>
      <w:r>
        <w:rPr>
          <w:b/>
          <w:bCs/>
          <w:lang w:val="en-US"/>
        </w:rPr>
        <w:t xml:space="preserve">oraitis, </w:t>
      </w:r>
      <w:r>
        <w:rPr>
          <w:b/>
          <w:bCs/>
        </w:rPr>
        <w:t>Κ</w:t>
      </w:r>
      <w:r>
        <w:rPr>
          <w:b/>
          <w:bCs/>
          <w:lang w:val="en-US"/>
        </w:rPr>
        <w:t>. (2015): “In which way is ethos revealed in space? ‘...ordine geometric demonstrato’”.</w:t>
      </w:r>
      <w:r>
        <w:rPr>
          <w:lang w:val="en-US"/>
        </w:rPr>
        <w:t xml:space="preserve"> </w:t>
      </w:r>
    </w:p>
    <w:p w14:paraId="4DD985A3">
      <w:pPr>
        <w:spacing w:line="276" w:lineRule="auto"/>
        <w:ind w:right="-42" w:firstLine="720"/>
        <w:jc w:val="both"/>
        <w:rPr>
          <w:lang w:val="en-US"/>
        </w:rPr>
      </w:pPr>
      <w:r>
        <w:t>Στο</w:t>
      </w:r>
      <w:r>
        <w:rPr>
          <w:lang w:val="fr-FR"/>
        </w:rPr>
        <w:t xml:space="preserve"> </w:t>
      </w:r>
      <w:r>
        <w:t>Κ</w:t>
      </w:r>
      <w:r>
        <w:rPr>
          <w:lang w:val="fr-FR"/>
        </w:rPr>
        <w:t xml:space="preserve">. </w:t>
      </w:r>
      <w:r>
        <w:t>Τ</w:t>
      </w:r>
      <w:r>
        <w:rPr>
          <w:lang w:val="fr-FR"/>
        </w:rPr>
        <w:t xml:space="preserve">soukala, </w:t>
      </w:r>
      <w:r>
        <w:t>Ν</w:t>
      </w:r>
      <w:r>
        <w:rPr>
          <w:lang w:val="fr-FR"/>
        </w:rPr>
        <w:t>.-</w:t>
      </w:r>
      <w:r>
        <w:t>Ι</w:t>
      </w:r>
      <w:r>
        <w:rPr>
          <w:lang w:val="fr-FR"/>
        </w:rPr>
        <w:t xml:space="preserve">. Terzoglou, Ch. </w:t>
      </w:r>
      <w:r>
        <w:rPr>
          <w:lang w:val="en-US"/>
        </w:rPr>
        <w:t>Pantelidou (</w:t>
      </w:r>
      <w:r>
        <w:t>επιμ</w:t>
      </w:r>
      <w:r>
        <w:rPr>
          <w:lang w:val="en-US"/>
        </w:rPr>
        <w:t xml:space="preserve">.): </w:t>
      </w:r>
      <w:r>
        <w:rPr>
          <w:i/>
          <w:lang w:val="en-US"/>
        </w:rPr>
        <w:t>Intersections of Space and Ethos</w:t>
      </w:r>
      <w:r>
        <w:rPr>
          <w:lang w:val="en-US"/>
        </w:rPr>
        <w:t xml:space="preserve">. Oxon: Routledge ed., </w:t>
      </w:r>
      <w:r>
        <w:t>σσ</w:t>
      </w:r>
      <w:r>
        <w:rPr>
          <w:lang w:val="en-US"/>
        </w:rPr>
        <w:t>. 18-29</w:t>
      </w:r>
    </w:p>
    <w:p w14:paraId="281DE502">
      <w:pPr>
        <w:jc w:val="both"/>
        <w:rPr>
          <w:lang w:val="en-US"/>
        </w:rPr>
      </w:pPr>
    </w:p>
    <w:p w14:paraId="2EC1DD5C">
      <w:pPr>
        <w:jc w:val="both"/>
        <w:rPr>
          <w:b/>
          <w:lang w:val="en-US"/>
        </w:rPr>
      </w:pPr>
      <w:r>
        <w:rPr>
          <w:b/>
          <w:lang w:val="en-US"/>
        </w:rPr>
        <w:t xml:space="preserve">10 - Moraitis, </w:t>
      </w:r>
      <w:r>
        <w:rPr>
          <w:b/>
        </w:rPr>
        <w:t>Κ</w:t>
      </w:r>
      <w:r>
        <w:rPr>
          <w:b/>
          <w:lang w:val="en-US"/>
        </w:rPr>
        <w:t>. (2021): “Local development and cultural landscapes.”</w:t>
      </w:r>
    </w:p>
    <w:p w14:paraId="5E55DD46">
      <w:pPr>
        <w:ind w:firstLine="720"/>
        <w:jc w:val="both"/>
        <w:rPr>
          <w:color w:val="000000"/>
          <w:lang w:val="en-US" w:eastAsia="el-GR"/>
        </w:rPr>
      </w:pPr>
      <w:r>
        <w:t xml:space="preserve">Σε συνεργασία με </w:t>
      </w:r>
      <w:r>
        <w:rPr>
          <w:lang w:val="en-US"/>
        </w:rPr>
        <w:t>E</w:t>
      </w:r>
      <w:r>
        <w:t>. Τσακίρη, Μ. Μάρκου και Ε. Χανιώτου. Έκδοση</w:t>
      </w:r>
      <w:r>
        <w:rPr>
          <w:lang w:val="en-US"/>
        </w:rPr>
        <w:t xml:space="preserve">: EDP Sciences, 2021 -E3S Web of Conferences - Open Access proceedings in Environment, Energy and Earth Sciences. Issue: </w:t>
      </w:r>
      <w:r>
        <w:rPr>
          <w:i/>
          <w:lang w:val="en-US"/>
        </w:rPr>
        <w:t>E3S Web Conf.Volume: 274, 2021 - 2nd International Scientific Conference on Socio-Technical Construction and Civil Engineering (STCCE – 2021)</w:t>
      </w:r>
      <w:r>
        <w:rPr>
          <w:lang w:val="en-US"/>
        </w:rPr>
        <w:t xml:space="preserve">. </w:t>
      </w:r>
      <w:r>
        <w:t>Αριθμός</w:t>
      </w:r>
      <w:r>
        <w:rPr>
          <w:lang w:val="en-US"/>
        </w:rPr>
        <w:t xml:space="preserve"> </w:t>
      </w:r>
      <w:r>
        <w:t>Άρθρου</w:t>
      </w:r>
      <w:r>
        <w:rPr>
          <w:lang w:val="en-US"/>
        </w:rPr>
        <w:t xml:space="preserve">: 01033 – Αριθμός σελίδων: 19 – Section: Architecture and Planning – DOI: </w:t>
      </w:r>
      <w:r>
        <w:fldChar w:fldCharType="begin"/>
      </w:r>
      <w:r>
        <w:instrText xml:space="preserve"> HYPERLINK "https://doi.org/10.1051/e3sconf/202127401033" </w:instrText>
      </w:r>
      <w:r>
        <w:fldChar w:fldCharType="separate"/>
      </w:r>
      <w:r>
        <w:rPr>
          <w:color w:val="0000FF"/>
          <w:u w:val="single"/>
          <w:lang w:val="en-US" w:eastAsia="el-GR"/>
        </w:rPr>
        <w:t>https://doi.org/10.1051/e3sconf/202127401033</w:t>
      </w:r>
      <w:r>
        <w:rPr>
          <w:color w:val="0000FF"/>
          <w:u w:val="single"/>
          <w:lang w:val="en-US" w:eastAsia="el-GR"/>
        </w:rPr>
        <w:fldChar w:fldCharType="end"/>
      </w:r>
      <w:r>
        <w:rPr>
          <w:lang w:val="en-US" w:eastAsia="el-GR"/>
        </w:rPr>
        <w:t xml:space="preserve"> - </w:t>
      </w:r>
      <w:r>
        <w:rPr>
          <w:bCs/>
          <w:color w:val="666666"/>
          <w:lang w:val="en-US" w:eastAsia="el-GR"/>
        </w:rPr>
        <w:t xml:space="preserve">Δικτυακή δημοσίευση: </w:t>
      </w:r>
      <w:r>
        <w:rPr>
          <w:lang w:val="en-US" w:eastAsia="el-GR"/>
        </w:rPr>
        <w:t xml:space="preserve">18 Ιουνίου 2021 - </w:t>
      </w:r>
      <w:r>
        <w:rPr>
          <w:color w:val="000000"/>
          <w:lang w:val="en-US" w:eastAsia="el-GR"/>
        </w:rPr>
        <w:t xml:space="preserve">E3S Web of Conferences </w:t>
      </w:r>
      <w:r>
        <w:rPr>
          <w:bCs/>
          <w:color w:val="111111"/>
          <w:lang w:val="en-US" w:eastAsia="el-GR"/>
        </w:rPr>
        <w:t>274</w:t>
      </w:r>
      <w:r>
        <w:rPr>
          <w:color w:val="000000"/>
          <w:lang w:val="en-US" w:eastAsia="el-GR"/>
        </w:rPr>
        <w:t>, 01033 (2021).</w:t>
      </w:r>
    </w:p>
    <w:p w14:paraId="57428A56">
      <w:pPr>
        <w:rPr>
          <w:lang w:val="en-US"/>
        </w:rPr>
      </w:pPr>
    </w:p>
    <w:p w14:paraId="532BE306">
      <w:pPr>
        <w:jc w:val="both"/>
        <w:rPr>
          <w:b/>
          <w:lang w:val="en-US"/>
        </w:rPr>
      </w:pPr>
      <w:r>
        <w:rPr>
          <w:b/>
          <w:lang w:val="en-US"/>
        </w:rPr>
        <w:t xml:space="preserve">11 - Moraitis, </w:t>
      </w:r>
      <w:r>
        <w:rPr>
          <w:b/>
        </w:rPr>
        <w:t>Κ</w:t>
      </w:r>
      <w:r>
        <w:rPr>
          <w:b/>
          <w:lang w:val="en-US"/>
        </w:rPr>
        <w:t>. (2022): “Smart cultural and political narratives in urban and periurban landscape.”</w:t>
      </w:r>
    </w:p>
    <w:p w14:paraId="55B12EC7">
      <w:pPr>
        <w:ind w:firstLine="720"/>
        <w:jc w:val="both"/>
        <w:rPr>
          <w:lang w:val="en-US"/>
        </w:rPr>
      </w:pPr>
      <w:r>
        <w:t xml:space="preserve">Σε συνεργασία με </w:t>
      </w:r>
      <w:r>
        <w:rPr>
          <w:lang w:val="en-US"/>
        </w:rPr>
        <w:t>A</w:t>
      </w:r>
      <w:r>
        <w:t xml:space="preserve">. Χελιδώνη. </w:t>
      </w:r>
      <w:r>
        <w:rPr>
          <w:lang w:val="en-US"/>
        </w:rPr>
        <w:t>Σ</w:t>
      </w:r>
      <w:r>
        <w:t>το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Technical Annals - Vol 1, No 1 </w:t>
      </w:r>
      <w:r>
        <w:rPr>
          <w:lang w:val="en-US"/>
        </w:rPr>
        <w:t xml:space="preserve">(2022), </w:t>
      </w:r>
      <w:r>
        <w:t>με</w:t>
      </w:r>
      <w:r>
        <w:rPr>
          <w:lang w:val="en-US"/>
        </w:rPr>
        <w:t xml:space="preserve"> </w:t>
      </w:r>
      <w:r>
        <w:t>τίτλο</w:t>
      </w:r>
      <w:r>
        <w:rPr>
          <w:lang w:val="en-US"/>
        </w:rPr>
        <w:t xml:space="preserve"> “Trandisciplinary Multispectral Modelling and Cooperation for the Preservation of Cultural Heritage“. Journal Technical Annals TMM-CH 2021 special issue, </w:t>
      </w:r>
      <w:r>
        <w:t>σσ</w:t>
      </w:r>
      <w:r>
        <w:rPr>
          <w:lang w:val="en-US"/>
        </w:rPr>
        <w:t>. 271-280.</w:t>
      </w:r>
    </w:p>
    <w:p w14:paraId="2CC66C0C">
      <w:pPr>
        <w:rPr>
          <w:lang w:val="en-US"/>
        </w:rPr>
      </w:pPr>
    </w:p>
    <w:p w14:paraId="2037EE47">
      <w:pPr>
        <w:jc w:val="both"/>
        <w:rPr>
          <w:lang w:val="fr-FR"/>
        </w:rPr>
      </w:pPr>
      <w:r>
        <w:rPr>
          <w:b/>
          <w:lang w:val="en-US"/>
        </w:rPr>
        <w:t xml:space="preserve">12 - Moraitis, </w:t>
      </w:r>
      <w:r>
        <w:rPr>
          <w:b/>
        </w:rPr>
        <w:t>Κ</w:t>
      </w:r>
      <w:r>
        <w:rPr>
          <w:b/>
          <w:lang w:val="en-US"/>
        </w:rPr>
        <w:t>. (2024): “</w:t>
      </w:r>
      <w:r>
        <w:fldChar w:fldCharType="begin"/>
      </w:r>
      <w:r>
        <w:instrText xml:space="preserve"> HYPERLINK "https://sdct-journal.com/index.php/2015-10-18-22-23-19/2024-volume-4-c/582-cultural-ecology-and-political-sustainability-promoting-the-identity-of-place-in-urban-and-regional-landscape-context" \o "CULTURAL ECOLOGY AND POLITICAL SUSTAINABILITY: PROMOTING THE IDENTITY OF PLACE IN URBAN AND REGIONAL LANDSCAPE CONTEXT" </w:instrText>
      </w:r>
      <w:r>
        <w:fldChar w:fldCharType="separate"/>
      </w:r>
      <w:r>
        <w:rPr>
          <w:b/>
          <w:lang w:val="en-US"/>
        </w:rPr>
        <w:t>Cultural ecology and political sustainability: promoting the identity of place in urban and regional landscape context</w:t>
      </w:r>
      <w:r>
        <w:rPr>
          <w:b/>
          <w:lang w:val="en-US"/>
        </w:rPr>
        <w:fldChar w:fldCharType="end"/>
      </w:r>
      <w:r>
        <w:rPr>
          <w:b/>
          <w:lang w:val="en-US"/>
        </w:rPr>
        <w:t>.”</w:t>
      </w:r>
      <w:r>
        <w:rPr>
          <w:lang w:val="en-US"/>
        </w:rPr>
        <w:t xml:space="preserve"> </w:t>
      </w:r>
      <w:r>
        <w:rPr>
          <w:lang w:val="fr-FR"/>
        </w:rPr>
        <w:t>DOI: 10.26341/issn.2241-4002-2024-4c-3-T02033</w:t>
      </w:r>
    </w:p>
    <w:p w14:paraId="1CBCD8CF">
      <w:pPr>
        <w:jc w:val="both"/>
        <w:rPr>
          <w:lang w:val="fr-FR"/>
        </w:rPr>
      </w:pPr>
      <w:r>
        <w:rPr>
          <w:lang w:val="fr-FR"/>
        </w:rPr>
        <w:tab/>
      </w:r>
      <w:r>
        <w:t>Στο</w:t>
      </w:r>
      <w:r>
        <w:rPr>
          <w:lang w:val="fr-FR"/>
        </w:rPr>
        <w:t xml:space="preserve"> </w:t>
      </w:r>
      <w:r>
        <w:rPr>
          <w:i/>
          <w:iCs/>
          <w:lang w:val="fr-FR"/>
        </w:rPr>
        <w:t xml:space="preserve">Sustainable Development, Culture, Traditions Journal. </w:t>
      </w:r>
      <w:r>
        <w:rPr>
          <w:lang w:val="fr-FR"/>
        </w:rPr>
        <w:t xml:space="preserve">2024 Volume 4-C - </w:t>
      </w:r>
      <w:r>
        <w:fldChar w:fldCharType="begin"/>
      </w:r>
      <w:r>
        <w:instrText xml:space="preserve"> HYPERLINK "https://sdct-journal.com/index.php/2015-10-18-22-23-19/2024-volume-4-c" </w:instrText>
      </w:r>
      <w:r>
        <w:fldChar w:fldCharType="separate"/>
      </w:r>
      <w:r>
        <w:rPr>
          <w:rStyle w:val="15"/>
          <w:rFonts w:eastAsiaTheme="majorEastAsia"/>
          <w:lang w:val="fr-FR"/>
        </w:rPr>
        <w:t>https://sdct-journal.com/index.php/2015-10-18-22-23-19/2024-volume-4-c</w:t>
      </w:r>
      <w:r>
        <w:rPr>
          <w:rStyle w:val="15"/>
          <w:rFonts w:eastAsiaTheme="majorEastAsia"/>
          <w:lang w:val="fr-FR"/>
        </w:rPr>
        <w:fldChar w:fldCharType="end"/>
      </w:r>
      <w:r>
        <w:rPr>
          <w:lang w:val="fr-FR"/>
        </w:rPr>
        <w:t>.</w:t>
      </w:r>
    </w:p>
    <w:p w14:paraId="0C5FBBC6">
      <w:pPr>
        <w:rPr>
          <w:lang w:val="fr-FR"/>
        </w:rPr>
      </w:pPr>
    </w:p>
    <w:p w14:paraId="48791086">
      <w:pPr>
        <w:jc w:val="both"/>
        <w:rPr>
          <w:b/>
          <w:lang w:val="en-US"/>
        </w:rPr>
      </w:pPr>
      <w:r>
        <w:rPr>
          <w:b/>
        </w:rPr>
        <w:t xml:space="preserve">13 - </w:t>
      </w:r>
      <w:r>
        <w:rPr>
          <w:b/>
          <w:lang w:val="en-US"/>
        </w:rPr>
        <w:t xml:space="preserve">Moraitis, </w:t>
      </w:r>
      <w:r>
        <w:rPr>
          <w:b/>
        </w:rPr>
        <w:t>Κ</w:t>
      </w:r>
      <w:r>
        <w:rPr>
          <w:b/>
          <w:lang w:val="en-US"/>
        </w:rPr>
        <w:t>. – Rassia St. (</w:t>
      </w:r>
      <w:r>
        <w:rPr>
          <w:b/>
        </w:rPr>
        <w:t>επιμ</w:t>
      </w:r>
      <w:r>
        <w:rPr>
          <w:b/>
          <w:lang w:val="en-US"/>
        </w:rPr>
        <w:t xml:space="preserve">. 2019): </w:t>
      </w:r>
      <w:bookmarkStart w:id="1" w:name="_Hlk155654601"/>
      <w:r>
        <w:rPr>
          <w:b/>
          <w:i/>
          <w:lang w:val="en-US"/>
        </w:rPr>
        <w:t>Urban Ethics</w:t>
      </w:r>
      <w:r>
        <w:rPr>
          <w:b/>
          <w:lang w:val="en-US"/>
        </w:rPr>
        <w:t>. Singapore: World Scientific Publ.</w:t>
      </w:r>
      <w:bookmarkEnd w:id="1"/>
    </w:p>
    <w:p w14:paraId="677BBD3E">
      <w:pPr>
        <w:jc w:val="both"/>
      </w:pPr>
      <w:r>
        <w:t>Συν-επιμέλεια έκδοσης και συμμετοχή με τη συγγραφή δύο κειμένων:</w:t>
      </w:r>
    </w:p>
    <w:p w14:paraId="1117E831">
      <w:pPr>
        <w:jc w:val="both"/>
        <w:rPr>
          <w:lang w:val="en-US"/>
        </w:rPr>
      </w:pPr>
      <w:r>
        <w:rPr>
          <w:b/>
          <w:lang w:val="en-US"/>
        </w:rPr>
        <w:t xml:space="preserve">Moraitis, </w:t>
      </w:r>
      <w:r>
        <w:rPr>
          <w:b/>
        </w:rPr>
        <w:t>Κ</w:t>
      </w:r>
      <w:r>
        <w:rPr>
          <w:b/>
          <w:lang w:val="en-US"/>
        </w:rPr>
        <w:t>.:</w:t>
      </w:r>
      <w:r>
        <w:rPr>
          <w:lang w:val="en-US"/>
        </w:rPr>
        <w:t>“Informal Ethics, Ethics of Transformation: Political and Landscape Urbanity”</w:t>
      </w:r>
    </w:p>
    <w:p w14:paraId="5D334C28">
      <w:pPr>
        <w:jc w:val="both"/>
        <w:rPr>
          <w:lang w:val="en-US"/>
        </w:rPr>
      </w:pPr>
      <w:bookmarkStart w:id="2" w:name="_Hlk155654487"/>
      <w:r>
        <w:rPr>
          <w:b/>
          <w:lang w:val="en-US"/>
        </w:rPr>
        <w:t xml:space="preserve">Moraitis, </w:t>
      </w:r>
      <w:r>
        <w:rPr>
          <w:b/>
        </w:rPr>
        <w:t>Κ</w:t>
      </w:r>
      <w:r>
        <w:rPr>
          <w:b/>
          <w:lang w:val="en-US"/>
        </w:rPr>
        <w:t>.:</w:t>
      </w:r>
      <w:r>
        <w:rPr>
          <w:lang w:val="en-US"/>
        </w:rPr>
        <w:t>“Ethics of Construction: From ‘Hardscape’ Urbanity to Natural Landscape References”.</w:t>
      </w:r>
      <w:bookmarkEnd w:id="2"/>
    </w:p>
    <w:p w14:paraId="7C27D355">
      <w:pPr>
        <w:jc w:val="both"/>
        <w:rPr>
          <w:b/>
          <w:bCs/>
          <w:lang w:val="en-US"/>
        </w:rPr>
      </w:pPr>
    </w:p>
    <w:p w14:paraId="13FD88C1">
      <w:pPr>
        <w:jc w:val="both"/>
        <w:rPr>
          <w:b/>
          <w:bCs/>
        </w:rPr>
      </w:pPr>
      <w:r>
        <w:rPr>
          <w:b/>
          <w:bCs/>
          <w:lang w:val="fr-FR"/>
        </w:rPr>
        <w:t>14 - Gype-Lazarou A., Moraitis K. (</w:t>
      </w:r>
      <w:r>
        <w:rPr>
          <w:b/>
          <w:bCs/>
        </w:rPr>
        <w:t>επιμ</w:t>
      </w:r>
      <w:r>
        <w:rPr>
          <w:b/>
          <w:bCs/>
          <w:lang w:val="fr-FR"/>
        </w:rPr>
        <w:t xml:space="preserve">. </w:t>
      </w:r>
      <w:r>
        <w:rPr>
          <w:b/>
          <w:bCs/>
          <w:lang w:val="en-US"/>
        </w:rPr>
        <w:t xml:space="preserve">2024): </w:t>
      </w:r>
      <w:r>
        <w:rPr>
          <w:b/>
          <w:bCs/>
          <w:i/>
          <w:iCs/>
          <w:lang w:val="en-US"/>
        </w:rPr>
        <w:t xml:space="preserve">Weird-Fictional Narratives in Art, Architecture, and the Urban Domain. </w:t>
      </w:r>
      <w:r>
        <w:rPr>
          <w:b/>
          <w:bCs/>
        </w:rPr>
        <w:t xml:space="preserve">Newcastle </w:t>
      </w:r>
      <w:r>
        <w:rPr>
          <w:b/>
          <w:bCs/>
          <w:lang w:val="en-US"/>
        </w:rPr>
        <w:t>upon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Tyne</w:t>
      </w:r>
      <w:r>
        <w:rPr>
          <w:b/>
          <w:bCs/>
        </w:rPr>
        <w:t xml:space="preserve">: </w:t>
      </w:r>
      <w:r>
        <w:rPr>
          <w:b/>
          <w:bCs/>
          <w:lang w:val="en-US"/>
        </w:rPr>
        <w:t>Cambridge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Scholars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Publishing</w:t>
      </w:r>
      <w:r>
        <w:rPr>
          <w:b/>
          <w:bCs/>
        </w:rPr>
        <w:t>.</w:t>
      </w:r>
    </w:p>
    <w:p w14:paraId="00740F03">
      <w:pPr>
        <w:jc w:val="both"/>
      </w:pPr>
      <w:r>
        <w:t>Συν-επιμέλεια έκδοσης και συμμετοχή με τη συν-συγγραφή του προλόγου και τη συγγραφή δύο κειμένων:</w:t>
      </w:r>
    </w:p>
    <w:p w14:paraId="7F7090B8">
      <w:pPr>
        <w:jc w:val="both"/>
        <w:rPr>
          <w:lang w:val="en-US"/>
        </w:rPr>
      </w:pPr>
      <w:r>
        <w:rPr>
          <w:b/>
          <w:lang w:val="en-US"/>
        </w:rPr>
        <w:t xml:space="preserve">Moraitis, </w:t>
      </w:r>
      <w:r>
        <w:rPr>
          <w:b/>
        </w:rPr>
        <w:t>Κ</w:t>
      </w:r>
      <w:r>
        <w:rPr>
          <w:b/>
          <w:lang w:val="en-US"/>
        </w:rPr>
        <w:t>.:</w:t>
      </w:r>
      <w:r>
        <w:rPr>
          <w:lang w:val="en-US"/>
        </w:rPr>
        <w:t>“Introduction”.</w:t>
      </w:r>
    </w:p>
    <w:p w14:paraId="1C6CF09D">
      <w:pPr>
        <w:jc w:val="both"/>
        <w:rPr>
          <w:lang w:val="en-US"/>
        </w:rPr>
      </w:pPr>
      <w:r>
        <w:rPr>
          <w:b/>
          <w:lang w:val="en-US"/>
        </w:rPr>
        <w:t xml:space="preserve">Moraitis, </w:t>
      </w:r>
      <w:r>
        <w:rPr>
          <w:b/>
        </w:rPr>
        <w:t>Κ</w:t>
      </w:r>
      <w:r>
        <w:rPr>
          <w:b/>
          <w:lang w:val="en-US"/>
        </w:rPr>
        <w:t xml:space="preserve">.: </w:t>
      </w:r>
      <w:r>
        <w:rPr>
          <w:lang w:val="en-US"/>
        </w:rPr>
        <w:t>Chapter 1: “Urban Vampires: Pandemics of Fright and Neoteric Reality”.</w:t>
      </w:r>
    </w:p>
    <w:p w14:paraId="1A57692A">
      <w:pPr>
        <w:jc w:val="both"/>
        <w:rPr>
          <w:lang w:val="en-US"/>
        </w:rPr>
      </w:pPr>
      <w:r>
        <w:rPr>
          <w:b/>
          <w:lang w:val="en-US"/>
        </w:rPr>
        <w:t xml:space="preserve">Moraitis, </w:t>
      </w:r>
      <w:r>
        <w:rPr>
          <w:b/>
        </w:rPr>
        <w:t>Κ</w:t>
      </w:r>
      <w:r>
        <w:rPr>
          <w:b/>
          <w:lang w:val="en-US"/>
        </w:rPr>
        <w:t xml:space="preserve">.: </w:t>
      </w:r>
      <w:r>
        <w:rPr>
          <w:lang w:val="en-US"/>
        </w:rPr>
        <w:t>Chapter 10: “Dark Fantasies and Gothic Revival in Rock Music: H.P. Lovecraft’s Imagery, the Case of Charles Manson, and Diamanda Galas’ ‘Orders from the Dead’”.</w:t>
      </w:r>
    </w:p>
    <w:p w14:paraId="5CC0A997">
      <w:pPr>
        <w:spacing w:line="276" w:lineRule="auto"/>
        <w:ind w:right="-42"/>
        <w:jc w:val="both"/>
      </w:pPr>
    </w:p>
    <w:p w14:paraId="57BA95E7">
      <w:pPr>
        <w:spacing w:line="276" w:lineRule="auto"/>
        <w:ind w:right="-42"/>
        <w:jc w:val="both"/>
      </w:pPr>
    </w:p>
    <w:p w14:paraId="322F984D">
      <w:pPr>
        <w:spacing w:line="276" w:lineRule="auto"/>
        <w:ind w:right="-42"/>
        <w:jc w:val="both"/>
        <w:rPr>
          <w:b/>
          <w:bCs/>
        </w:rPr>
      </w:pPr>
      <w:r>
        <w:rPr>
          <w:b/>
          <w:bCs/>
        </w:rPr>
        <w:t>ΕΠΙΣΗΣ – ΓΕΝΙΚΗ ΒΙΒΛΙΟΓΡΑΦΙΑ – 2:</w:t>
      </w:r>
    </w:p>
    <w:p w14:paraId="7409A8DA">
      <w:pPr>
        <w:spacing w:line="276" w:lineRule="auto"/>
        <w:ind w:right="-42"/>
        <w:jc w:val="both"/>
        <w:rPr>
          <w:b/>
          <w:bCs/>
        </w:rPr>
      </w:pPr>
    </w:p>
    <w:p w14:paraId="21C48A61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Benjamin, W. (1994): </w:t>
      </w:r>
      <w:r>
        <w:rPr>
          <w:rFonts w:ascii="Times New Roman" w:hAnsi="Times New Roman" w:cs="Times New Roman"/>
          <w:i/>
          <w:sz w:val="20"/>
          <w:szCs w:val="20"/>
        </w:rPr>
        <w:t>Σαρλ Μπωντλαίρ, ένας λυρικός στην ακμή του καπιταλισμού</w:t>
      </w:r>
      <w:r>
        <w:rPr>
          <w:rFonts w:ascii="Times New Roman" w:hAnsi="Times New Roman" w:cs="Times New Roman"/>
          <w:sz w:val="20"/>
          <w:szCs w:val="20"/>
        </w:rPr>
        <w:t>. Αθήνα: Εκδ. Αλεξάνδρεια.</w:t>
      </w:r>
    </w:p>
    <w:p w14:paraId="0BFD7AF7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Benjamin, W. (1997): </w:t>
      </w:r>
      <w:r>
        <w:rPr>
          <w:rFonts w:ascii="Times New Roman" w:hAnsi="Times New Roman" w:cs="Times New Roman"/>
          <w:i/>
          <w:sz w:val="20"/>
          <w:szCs w:val="20"/>
          <w:lang w:val="fr-FR"/>
        </w:rPr>
        <w:t>Paris capitale du XIXe siècle: le livre des passages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Paris: Les Éditions du Cerf.</w:t>
      </w:r>
    </w:p>
    <w:p w14:paraId="16631366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Beveridge, C. E. &amp; Rocheleau, P. (2005):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Frederick Law Olmsted; designing the American Landscape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New York: Rizzoli International Public.</w:t>
      </w:r>
    </w:p>
    <w:p w14:paraId="0456299F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Buck Morss, S. (1991):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The dialectics of seeing: Walter Benjamin and the Arcades project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>Cambridge</w:t>
      </w:r>
      <w:r>
        <w:rPr>
          <w:rFonts w:ascii="Times New Roman" w:hAnsi="Times New Roman" w:cs="Times New Roman"/>
          <w:sz w:val="20"/>
          <w:szCs w:val="20"/>
        </w:rPr>
        <w:t xml:space="preserve">: MIT Press. Ελλην. μετάφραση (2009): </w:t>
      </w:r>
      <w:r>
        <w:rPr>
          <w:rFonts w:ascii="Times New Roman" w:hAnsi="Times New Roman" w:cs="Times New Roman"/>
          <w:i/>
          <w:sz w:val="20"/>
          <w:szCs w:val="20"/>
        </w:rPr>
        <w:t>Η διαλεκτική του βλέπειν. Ο Βάλτερ Μπένγιαμιν και το Σχέδιο Eργασίας περί Στοών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Ηράκλειο: Πανεπιστημιακές Εκδόσεις Κρήτης.</w:t>
      </w:r>
    </w:p>
    <w:p w14:paraId="78876D49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Burlen, </w:t>
      </w:r>
      <w:r>
        <w:rPr>
          <w:rFonts w:ascii="Times New Roman" w:hAnsi="Times New Roman" w:cs="Times New Roman"/>
          <w:sz w:val="20"/>
          <w:szCs w:val="20"/>
        </w:rPr>
        <w:t>Κ</w:t>
      </w:r>
      <w:r>
        <w:rPr>
          <w:rFonts w:ascii="Times New Roman" w:hAnsi="Times New Roman" w:cs="Times New Roman"/>
          <w:sz w:val="20"/>
          <w:szCs w:val="20"/>
          <w:lang w:val="fr-FR"/>
        </w:rPr>
        <w:t>. (</w:t>
      </w:r>
      <w:r>
        <w:rPr>
          <w:rFonts w:ascii="Times New Roman" w:hAnsi="Times New Roman" w:cs="Times New Roman"/>
          <w:sz w:val="20"/>
          <w:szCs w:val="20"/>
        </w:rPr>
        <w:t>επιμ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. - 1987): </w:t>
      </w:r>
      <w:r>
        <w:rPr>
          <w:rFonts w:ascii="Times New Roman" w:hAnsi="Times New Roman" w:cs="Times New Roman"/>
          <w:i/>
          <w:sz w:val="20"/>
          <w:szCs w:val="20"/>
          <w:lang w:val="fr-FR"/>
        </w:rPr>
        <w:t>La Banlieue Oasis. Henri Sellier et les cités-jardins 1900-1940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Saint-Denis: Presses Universitaires de Vincennes.</w:t>
      </w:r>
    </w:p>
    <w:p w14:paraId="7E787005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Chadwick, G. F. (1966): </w:t>
      </w:r>
      <w:r>
        <w:rPr>
          <w:rStyle w:val="13"/>
          <w:rFonts w:ascii="Times New Roman" w:hAnsi="Times New Roman" w:cs="Times New Roman"/>
          <w:sz w:val="20"/>
          <w:szCs w:val="20"/>
          <w:lang w:val="en-US"/>
        </w:rPr>
        <w:t>The Park and the Town: Public Landscape in the 19th and 20th Centuries</w:t>
      </w:r>
      <w:r>
        <w:rPr>
          <w:rFonts w:ascii="Times New Roman" w:hAnsi="Times New Roman" w:cs="Times New Roman"/>
          <w:sz w:val="20"/>
          <w:szCs w:val="20"/>
          <w:lang w:val="en-US"/>
        </w:rPr>
        <w:t>. London: The Architectural Press.</w:t>
      </w:r>
    </w:p>
    <w:p w14:paraId="67E8F296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_Hlk141997592"/>
      <w:r>
        <w:rPr>
          <w:rFonts w:ascii="Times New Roman" w:hAnsi="Times New Roman" w:cs="Times New Roman"/>
          <w:sz w:val="20"/>
          <w:szCs w:val="20"/>
          <w:lang w:val="en-GB"/>
        </w:rPr>
        <w:t>Gandelsonas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GB"/>
        </w:rPr>
        <w:t>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(1991):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The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Urban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r>
        <w:rPr>
          <w:rFonts w:ascii="Times New Roman" w:hAnsi="Times New Roman" w:cs="Times New Roman"/>
          <w:sz w:val="20"/>
          <w:szCs w:val="20"/>
          <w:lang w:val="en-US"/>
        </w:rPr>
        <w:t>. Cambridge: MIT Press.</w:t>
      </w:r>
    </w:p>
    <w:bookmarkEnd w:id="3"/>
    <w:p w14:paraId="0E76D5FE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125885237"/>
      <w:r>
        <w:rPr>
          <w:rFonts w:ascii="Times New Roman" w:hAnsi="Times New Roman" w:cs="Times New Roman"/>
          <w:sz w:val="20"/>
          <w:szCs w:val="20"/>
        </w:rPr>
        <w:t xml:space="preserve">Guattari, F. (1991): </w:t>
      </w:r>
      <w:r>
        <w:rPr>
          <w:rFonts w:ascii="Times New Roman" w:hAnsi="Times New Roman" w:cs="Times New Roman"/>
          <w:i/>
          <w:sz w:val="20"/>
          <w:szCs w:val="20"/>
        </w:rPr>
        <w:t>Οι τρεις Οικολογίες</w:t>
      </w:r>
      <w:r>
        <w:rPr>
          <w:rFonts w:ascii="Times New Roman" w:hAnsi="Times New Roman" w:cs="Times New Roman"/>
          <w:sz w:val="20"/>
          <w:szCs w:val="20"/>
        </w:rPr>
        <w:t>. Αθήνα: Εκδ. Αλεξάνδρεια.</w:t>
      </w:r>
      <w:bookmarkEnd w:id="4"/>
    </w:p>
    <w:p w14:paraId="07F52199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Howard, E. (1902): </w:t>
      </w:r>
      <w:r>
        <w:rPr>
          <w:rFonts w:ascii="Times New Roman" w:hAnsi="Times New Roman" w:cs="Times New Roman"/>
          <w:bCs/>
          <w:i/>
          <w:sz w:val="20"/>
          <w:szCs w:val="20"/>
          <w:lang w:val="en-US"/>
        </w:rPr>
        <w:t>Garden Cities of To-morrow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London: Swan Sonnenschein &amp; Co - </w:t>
      </w:r>
      <w:r>
        <w:fldChar w:fldCharType="begin"/>
      </w:r>
      <w:r>
        <w:instrText xml:space="preserve"> HYPERLINK "https://www.gutenberg.org/files/46134/46134-h/46134-h.htm" </w:instrText>
      </w:r>
      <w:r>
        <w:fldChar w:fldCharType="separate"/>
      </w:r>
      <w:r>
        <w:rPr>
          <w:rStyle w:val="15"/>
          <w:rFonts w:ascii="Times New Roman" w:hAnsi="Times New Roman" w:cs="Times New Roman"/>
          <w:bCs/>
          <w:sz w:val="20"/>
          <w:szCs w:val="20"/>
          <w:lang w:val="en-US"/>
        </w:rPr>
        <w:t>https://www.gutenberg.org/files/46134/46134-h/46134-h.htm</w:t>
      </w:r>
      <w:r>
        <w:rPr>
          <w:rStyle w:val="15"/>
          <w:rFonts w:ascii="Times New Roman" w:hAnsi="Times New Roman" w:cs="Times New Roman"/>
          <w:bCs/>
          <w:sz w:val="20"/>
          <w:szCs w:val="20"/>
          <w:lang w:val="en-US"/>
        </w:rPr>
        <w:fldChar w:fldCharType="end"/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- 19/8/2023.</w:t>
      </w:r>
    </w:p>
    <w:p w14:paraId="62169776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Καββαθάς, Δ. (επιμ. 2004): </w:t>
      </w:r>
      <w:r>
        <w:rPr>
          <w:rFonts w:ascii="Times New Roman" w:hAnsi="Times New Roman" w:cs="Times New Roman"/>
          <w:i/>
          <w:iCs/>
          <w:sz w:val="20"/>
          <w:szCs w:val="20"/>
        </w:rPr>
        <w:t>Το Τοπίο</w:t>
      </w:r>
      <w:r>
        <w:rPr>
          <w:rFonts w:ascii="Times New Roman" w:hAnsi="Times New Roman" w:cs="Times New Roman"/>
          <w:sz w:val="20"/>
          <w:szCs w:val="20"/>
        </w:rPr>
        <w:t>. Αθήνα: Εκδ. Ποταμός.</w:t>
      </w:r>
    </w:p>
    <w:p w14:paraId="17BD8281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Καρύδης, Δ. (2006): </w:t>
      </w:r>
      <w:r>
        <w:rPr>
          <w:rFonts w:ascii="Times New Roman" w:hAnsi="Times New Roman" w:cs="Times New Roman"/>
          <w:i/>
          <w:sz w:val="20"/>
          <w:szCs w:val="20"/>
        </w:rPr>
        <w:t>Τα επτά βιβλία της Πολεοδομίας</w:t>
      </w:r>
      <w:r>
        <w:rPr>
          <w:rFonts w:ascii="Times New Roman" w:hAnsi="Times New Roman" w:cs="Times New Roman"/>
          <w:sz w:val="20"/>
          <w:szCs w:val="20"/>
        </w:rPr>
        <w:t>. Αθήνα: Εκδ. Παπασωτηρίου.</w:t>
      </w:r>
    </w:p>
    <w:p w14:paraId="5C445345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144669205"/>
      <w:r>
        <w:rPr>
          <w:rFonts w:ascii="Times New Roman" w:hAnsi="Times New Roman" w:cs="Times New Roman"/>
          <w:sz w:val="20"/>
          <w:szCs w:val="20"/>
        </w:rPr>
        <w:t>Καρύδης</w:t>
      </w:r>
      <w:r>
        <w:rPr>
          <w:rFonts w:ascii="Times New Roman" w:hAnsi="Times New Roman" w:cs="Times New Roman"/>
          <w:bCs/>
          <w:sz w:val="20"/>
          <w:szCs w:val="20"/>
        </w:rPr>
        <w:t xml:space="preserve">, Δ. &amp;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Cassia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M</w:t>
      </w:r>
      <w:r>
        <w:rPr>
          <w:rFonts w:ascii="Times New Roman" w:hAnsi="Times New Roman" w:cs="Times New Roman"/>
          <w:bCs/>
          <w:sz w:val="20"/>
          <w:szCs w:val="20"/>
        </w:rPr>
        <w:t xml:space="preserve">. (1997):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Πρόγραμμα Ηρακλής, δέκα σχέδια για την ελληνική πόλη –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Programma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Herakles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dieci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progetti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per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la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citt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à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greca</w:t>
      </w:r>
      <w:r>
        <w:rPr>
          <w:rFonts w:ascii="Times New Roman" w:hAnsi="Times New Roman" w:cs="Times New Roman"/>
          <w:bCs/>
          <w:sz w:val="20"/>
          <w:szCs w:val="20"/>
        </w:rPr>
        <w:t>. Αθήνα: Έκδ. ΑΓΕΤ «Ηρακλής».</w:t>
      </w:r>
    </w:p>
    <w:bookmarkEnd w:id="5"/>
    <w:p w14:paraId="631D9A1E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Lynch, K. A. (1964): The Image of the City. Massachusetts: MIT Press.</w:t>
      </w:r>
    </w:p>
    <w:p w14:paraId="5A59202A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Μωραΐτης, Κ. (2015β): </w:t>
      </w:r>
      <w:r>
        <w:rPr>
          <w:rFonts w:ascii="Times New Roman" w:hAnsi="Times New Roman" w:cs="Times New Roman"/>
          <w:i/>
          <w:sz w:val="20"/>
          <w:szCs w:val="20"/>
        </w:rPr>
        <w:t>Τέχνη του Τοπίου: Πολιτιστική επισκόπηση των νεωτερικών τοπιακών θεωρήσεων και διαμορφώσεων</w:t>
      </w:r>
      <w:r>
        <w:rPr>
          <w:rFonts w:ascii="Times New Roman" w:hAnsi="Times New Roman" w:cs="Times New Roman"/>
          <w:sz w:val="20"/>
          <w:szCs w:val="20"/>
        </w:rPr>
        <w:t>. Αθήνα: Ηλεκτρ. Εκδόσεις Κάλλιπος.</w:t>
      </w:r>
    </w:p>
    <w:p w14:paraId="2833DA74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Μ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oraitis, </w:t>
      </w:r>
      <w:r>
        <w:rPr>
          <w:rFonts w:ascii="Times New Roman" w:hAnsi="Times New Roman" w:cs="Times New Roman"/>
          <w:sz w:val="20"/>
          <w:szCs w:val="20"/>
        </w:rPr>
        <w:t>Κ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(2015): “In which way is ethos revealed in space? ‘...ordine geometric demonstrato’”. </w:t>
      </w:r>
      <w:r>
        <w:rPr>
          <w:rFonts w:ascii="Times New Roman" w:hAnsi="Times New Roman" w:cs="Times New Roman"/>
          <w:sz w:val="20"/>
          <w:szCs w:val="20"/>
        </w:rPr>
        <w:t>Στο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Κ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Τ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soukala, </w:t>
      </w:r>
      <w:r>
        <w:rPr>
          <w:rFonts w:ascii="Times New Roman" w:hAnsi="Times New Roman" w:cs="Times New Roman"/>
          <w:sz w:val="20"/>
          <w:szCs w:val="20"/>
        </w:rPr>
        <w:t>Ν</w:t>
      </w:r>
      <w:r>
        <w:rPr>
          <w:rFonts w:ascii="Times New Roman" w:hAnsi="Times New Roman" w:cs="Times New Roman"/>
          <w:sz w:val="20"/>
          <w:szCs w:val="20"/>
          <w:lang w:val="en-US"/>
        </w:rPr>
        <w:t>.-</w:t>
      </w:r>
      <w:r>
        <w:rPr>
          <w:rFonts w:ascii="Times New Roman" w:hAnsi="Times New Roman" w:cs="Times New Roman"/>
          <w:sz w:val="20"/>
          <w:szCs w:val="20"/>
        </w:rPr>
        <w:t>Ι</w:t>
      </w:r>
      <w:r>
        <w:rPr>
          <w:rFonts w:ascii="Times New Roman" w:hAnsi="Times New Roman" w:cs="Times New Roman"/>
          <w:sz w:val="20"/>
          <w:szCs w:val="20"/>
          <w:lang w:val="en-US"/>
        </w:rPr>
        <w:t>. Terzoglou, Ch. Pantelidou (</w:t>
      </w:r>
      <w:r>
        <w:rPr>
          <w:rFonts w:ascii="Times New Roman" w:hAnsi="Times New Roman" w:cs="Times New Roman"/>
          <w:sz w:val="20"/>
          <w:szCs w:val="20"/>
        </w:rPr>
        <w:t>επιμ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.):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Intersections of Space and Ethos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Oxon: Routledge ed., </w:t>
      </w:r>
      <w:r>
        <w:rPr>
          <w:rFonts w:ascii="Times New Roman" w:hAnsi="Times New Roman" w:cs="Times New Roman"/>
          <w:sz w:val="20"/>
          <w:szCs w:val="20"/>
        </w:rPr>
        <w:t>σσ</w:t>
      </w:r>
      <w:r>
        <w:rPr>
          <w:rFonts w:ascii="Times New Roman" w:hAnsi="Times New Roman" w:cs="Times New Roman"/>
          <w:sz w:val="20"/>
          <w:szCs w:val="20"/>
          <w:lang w:val="en-US"/>
        </w:rPr>
        <w:t>. 18-29</w:t>
      </w:r>
    </w:p>
    <w:p w14:paraId="17A47D0D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Venturi, R. (1977):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Complexity and Contradiction in Architecture.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New York: The Museum of Modern Art Publications.</w:t>
      </w:r>
    </w:p>
    <w:p w14:paraId="1C5E1006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Venturi, R., Izenour, S. &amp; Scott Brown, D. (1977):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Learning from Las Vegas: The Forgotten Symbolism of Architectural Form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Cambridge, Massachusetts: The MIT Press.</w:t>
      </w:r>
    </w:p>
    <w:p w14:paraId="5F9987C6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>Vidler, A. (1978): «</w:t>
      </w:r>
      <w:r>
        <w:rPr>
          <w:rFonts w:ascii="Times New Roman" w:hAnsi="Times New Roman" w:cs="Times New Roman"/>
          <w:iCs/>
          <w:sz w:val="20"/>
          <w:szCs w:val="20"/>
          <w:lang w:val="fr-FR"/>
        </w:rPr>
        <w:t>La troisième typologie – The third typology».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Στο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fr-FR"/>
        </w:rPr>
        <w:t>Rational Architecture – Architecture Rationnelle</w:t>
      </w:r>
      <w:r>
        <w:rPr>
          <w:rFonts w:ascii="Times New Roman" w:hAnsi="Times New Roman" w:cs="Times New Roman"/>
          <w:iCs/>
          <w:sz w:val="20"/>
          <w:szCs w:val="20"/>
          <w:lang w:val="fr-FR"/>
        </w:rPr>
        <w:t xml:space="preserve">. Bruxelles: Éditions des Archives d’Architecture Moderne, </w:t>
      </w:r>
      <w:r>
        <w:rPr>
          <w:rFonts w:ascii="Times New Roman" w:hAnsi="Times New Roman" w:cs="Times New Roman"/>
          <w:iCs/>
          <w:sz w:val="20"/>
          <w:szCs w:val="20"/>
        </w:rPr>
        <w:t>σ</w:t>
      </w:r>
      <w:r>
        <w:rPr>
          <w:rFonts w:ascii="Times New Roman" w:hAnsi="Times New Roman" w:cs="Times New Roman"/>
          <w:sz w:val="20"/>
          <w:szCs w:val="20"/>
        </w:rPr>
        <w:t>σ</w:t>
      </w:r>
      <w:r>
        <w:rPr>
          <w:rFonts w:ascii="Times New Roman" w:hAnsi="Times New Roman" w:cs="Times New Roman"/>
          <w:sz w:val="20"/>
          <w:szCs w:val="20"/>
          <w:lang w:val="fr-FR"/>
        </w:rPr>
        <w:t>. 23-32.</w:t>
      </w:r>
    </w:p>
    <w:p w14:paraId="1FFAAFB7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>Viljoen, A. &amp; Bohn, K. (</w:t>
      </w:r>
      <w:r>
        <w:rPr>
          <w:rFonts w:ascii="Times New Roman" w:hAnsi="Times New Roman" w:cs="Times New Roman"/>
          <w:sz w:val="20"/>
          <w:szCs w:val="20"/>
        </w:rPr>
        <w:t>επιμ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2014):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Second Nature Urban Agriculture. Designing productive cities – Ten years on from the Continuous Productive Urban Landscape (CPUL City) concept. </w:t>
      </w:r>
      <w:r>
        <w:rPr>
          <w:rFonts w:ascii="Times New Roman" w:hAnsi="Times New Roman" w:cs="Times New Roman"/>
          <w:sz w:val="20"/>
          <w:szCs w:val="20"/>
        </w:rPr>
        <w:t>London: Routledge editions.</w:t>
      </w:r>
    </w:p>
    <w:p w14:paraId="53A6FE5D">
      <w:pPr>
        <w:pStyle w:val="31"/>
        <w:numPr>
          <w:ilvl w:val="0"/>
          <w:numId w:val="1"/>
        </w:numPr>
        <w:spacing w:after="0" w:line="276" w:lineRule="auto"/>
        <w:ind w:left="567" w:right="-42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Witte, Bernd (1998): </w:t>
      </w:r>
      <w:r>
        <w:rPr>
          <w:rFonts w:ascii="Times New Roman" w:hAnsi="Times New Roman" w:cs="Times New Roman"/>
          <w:i/>
          <w:sz w:val="20"/>
          <w:szCs w:val="20"/>
          <w:lang w:val="fr-FR"/>
        </w:rPr>
        <w:t>Walter Benjamin, une biographie – La nuit surveillée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Paris: Les Éditions du Cerf.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43E61"/>
    <w:multiLevelType w:val="multilevel"/>
    <w:tmpl w:val="5B743E61"/>
    <w:lvl w:ilvl="0" w:tentative="0">
      <w:start w:val="1"/>
      <w:numFmt w:val="decimal"/>
      <w:lvlText w:val="%1."/>
      <w:lvlJc w:val="left"/>
      <w:pPr>
        <w:ind w:left="3621" w:hanging="360"/>
      </w:pPr>
    </w:lvl>
    <w:lvl w:ilvl="1" w:tentative="0">
      <w:start w:val="1"/>
      <w:numFmt w:val="lowerLetter"/>
      <w:lvlText w:val="%2."/>
      <w:lvlJc w:val="left"/>
      <w:pPr>
        <w:ind w:left="4728" w:hanging="360"/>
      </w:pPr>
    </w:lvl>
    <w:lvl w:ilvl="2" w:tentative="0">
      <w:start w:val="1"/>
      <w:numFmt w:val="lowerRoman"/>
      <w:lvlText w:val="%3."/>
      <w:lvlJc w:val="right"/>
      <w:pPr>
        <w:ind w:left="5448" w:hanging="180"/>
      </w:pPr>
    </w:lvl>
    <w:lvl w:ilvl="3" w:tentative="0">
      <w:start w:val="1"/>
      <w:numFmt w:val="decimal"/>
      <w:lvlText w:val="%4."/>
      <w:lvlJc w:val="left"/>
      <w:pPr>
        <w:ind w:left="6168" w:hanging="360"/>
      </w:pPr>
    </w:lvl>
    <w:lvl w:ilvl="4" w:tentative="0">
      <w:start w:val="1"/>
      <w:numFmt w:val="lowerLetter"/>
      <w:lvlText w:val="%5."/>
      <w:lvlJc w:val="left"/>
      <w:pPr>
        <w:ind w:left="6888" w:hanging="360"/>
      </w:pPr>
    </w:lvl>
    <w:lvl w:ilvl="5" w:tentative="0">
      <w:start w:val="1"/>
      <w:numFmt w:val="lowerRoman"/>
      <w:lvlText w:val="%6."/>
      <w:lvlJc w:val="right"/>
      <w:pPr>
        <w:ind w:left="7608" w:hanging="180"/>
      </w:pPr>
    </w:lvl>
    <w:lvl w:ilvl="6" w:tentative="0">
      <w:start w:val="1"/>
      <w:numFmt w:val="decimal"/>
      <w:lvlText w:val="%7."/>
      <w:lvlJc w:val="left"/>
      <w:pPr>
        <w:ind w:left="8328" w:hanging="360"/>
      </w:pPr>
    </w:lvl>
    <w:lvl w:ilvl="7" w:tentative="0">
      <w:start w:val="1"/>
      <w:numFmt w:val="lowerLetter"/>
      <w:lvlText w:val="%8."/>
      <w:lvlJc w:val="left"/>
      <w:pPr>
        <w:ind w:left="9048" w:hanging="360"/>
      </w:pPr>
    </w:lvl>
    <w:lvl w:ilvl="8" w:tentative="0">
      <w:start w:val="1"/>
      <w:numFmt w:val="lowerRoman"/>
      <w:lvlText w:val="%9."/>
      <w:lvlJc w:val="right"/>
      <w:pPr>
        <w:ind w:left="97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EF"/>
    <w:rsid w:val="001130D5"/>
    <w:rsid w:val="00202DC8"/>
    <w:rsid w:val="00307B50"/>
    <w:rsid w:val="006213DF"/>
    <w:rsid w:val="007E28EF"/>
    <w:rsid w:val="007E5030"/>
    <w:rsid w:val="00A04203"/>
    <w:rsid w:val="00B334A3"/>
    <w:rsid w:val="00C741DC"/>
    <w:rsid w:val="00CF0036"/>
    <w:rsid w:val="00D025EF"/>
    <w:rsid w:val="00E06EC3"/>
    <w:rsid w:val="00F527C8"/>
    <w:rsid w:val="193C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0"/>
      <w:sz w:val="20"/>
      <w:szCs w:val="20"/>
      <w:lang w:val="el-G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  <w:color w:val="auto"/>
    </w:rPr>
  </w:style>
  <w:style w:type="paragraph" w:styleId="14">
    <w:name w:val="endnote text"/>
    <w:basedOn w:val="1"/>
    <w:link w:val="36"/>
    <w:unhideWhenUsed/>
    <w:qFormat/>
    <w:uiPriority w:val="99"/>
    <w:pPr>
      <w:overflowPunct/>
      <w:autoSpaceDE/>
      <w:autoSpaceDN/>
      <w:adjustRightInd/>
      <w:textAlignment w:val="auto"/>
    </w:pPr>
    <w:rPr>
      <w:rFonts w:asciiTheme="minorHAnsi" w:hAnsiTheme="minorHAnsi" w:eastAsiaTheme="minorEastAsia" w:cstheme="minorBidi"/>
      <w:lang w:eastAsia="el-GR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Subtitle"/>
    <w:basedOn w:val="1"/>
    <w:next w:val="1"/>
    <w:link w:val="28"/>
    <w:qFormat/>
    <w:uiPriority w:val="11"/>
    <w:pPr>
      <w:overflowPunct/>
      <w:autoSpaceDE/>
      <w:autoSpaceDN/>
      <w:adjustRightInd/>
      <w:spacing w:after="160" w:line="278" w:lineRule="auto"/>
      <w:textAlignment w:val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Επικεφαλίδα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Επικεφαλίδα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Επικεφαλίδα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Επικεφαλίδα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Επικεφαλίδα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Επικεφαλίδα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Επικεφαλίδα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Επικεφαλίδα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Επικεφαλίδα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Τίτλος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Υπότιτλος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Απόσπασμα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szCs w:val="24"/>
      <w14:ligatures w14:val="standardContextual"/>
    </w:rPr>
  </w:style>
  <w:style w:type="character" w:customStyle="1" w:styleId="34">
    <w:name w:val="Έντονο απόσπ.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Κείμενο σημείωσης τέλους Char"/>
    <w:basedOn w:val="11"/>
    <w:link w:val="14"/>
    <w:qFormat/>
    <w:uiPriority w:val="99"/>
    <w:rPr>
      <w:rFonts w:eastAsiaTheme="minorEastAsia"/>
      <w:kern w:val="0"/>
      <w:sz w:val="20"/>
      <w:szCs w:val="20"/>
      <w:lang w:eastAsia="el-G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1BD7-A3EB-4012-9AFD-6565EB2DA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1275</Words>
  <Characters>6891</Characters>
  <Lines>57</Lines>
  <Paragraphs>16</Paragraphs>
  <TotalTime>37</TotalTime>
  <ScaleCrop>false</ScaleCrop>
  <LinksUpToDate>false</LinksUpToDate>
  <CharactersWithSpaces>8150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2026-03-07T21:45:00Z</dcterms:created>
  <dc:creator>Kostas Moraitis</dc:creator>
  <cp:lastModifiedBy>google1587911622</cp:lastModifiedBy>
  <dcterms:modified xsi:type="dcterms:W3CDTF">2026-03-10T06:37:24Z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D281B434537B4B7A998859D5ECED3C71_13</vt:lpwstr>
  </property>
</Properties>
</file>